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3AE2A" w14:textId="77777777" w:rsidR="00EC1879" w:rsidRPr="00236ADE" w:rsidRDefault="00EC1879"/>
    <w:p w14:paraId="14FD552E" w14:textId="77777777" w:rsidR="00EC1879" w:rsidRPr="00236ADE" w:rsidRDefault="00E52D1F">
      <w:pPr>
        <w:jc w:val="center"/>
        <w:rPr>
          <w:rFonts w:eastAsia="Lato"/>
          <w:b/>
        </w:rPr>
      </w:pPr>
      <w:r w:rsidRPr="00236ADE">
        <w:rPr>
          <w:rFonts w:eastAsia="Lato"/>
          <w:b/>
        </w:rPr>
        <w:t>NIHR School for Primary Care Research</w:t>
      </w:r>
    </w:p>
    <w:p w14:paraId="55B989F8" w14:textId="77777777" w:rsidR="00EC1879" w:rsidRPr="00236ADE" w:rsidRDefault="00E52D1F">
      <w:pPr>
        <w:jc w:val="center"/>
        <w:rPr>
          <w:rFonts w:eastAsia="Lato"/>
        </w:rPr>
      </w:pPr>
      <w:r w:rsidRPr="00236ADE">
        <w:rPr>
          <w:rFonts w:eastAsia="Lato"/>
          <w:b/>
        </w:rPr>
        <w:t>Annual report for the period April 2022 - March 2023</w:t>
      </w:r>
    </w:p>
    <w:p w14:paraId="49EEDB24" w14:textId="77777777" w:rsidR="00EC1879" w:rsidRPr="00236ADE" w:rsidRDefault="00EC1879">
      <w:pPr>
        <w:rPr>
          <w:rFonts w:eastAsia="Lato"/>
          <w:b/>
        </w:rPr>
      </w:pPr>
    </w:p>
    <w:p w14:paraId="6ED046F4" w14:textId="77777777" w:rsidR="00EC1879" w:rsidRPr="00236ADE" w:rsidRDefault="00EC1879">
      <w:pPr>
        <w:rPr>
          <w:rFonts w:eastAsia="Lato"/>
        </w:rPr>
      </w:pPr>
    </w:p>
    <w:p w14:paraId="473F018A" w14:textId="77777777" w:rsidR="00EC1879" w:rsidRPr="00236ADE" w:rsidRDefault="00E52D1F">
      <w:pPr>
        <w:rPr>
          <w:rFonts w:eastAsia="Lato"/>
          <w:b/>
        </w:rPr>
      </w:pPr>
      <w:r w:rsidRPr="00236ADE">
        <w:rPr>
          <w:rFonts w:eastAsia="Lato"/>
          <w:b/>
        </w:rPr>
        <w:t>SPCR aims, activities and achievements</w:t>
      </w:r>
    </w:p>
    <w:p w14:paraId="2978916A" w14:textId="77777777" w:rsidR="002A0783" w:rsidRPr="00236ADE" w:rsidRDefault="00E52D1F">
      <w:pPr>
        <w:rPr>
          <w:rFonts w:eastAsia="Lato"/>
          <w:color w:val="7F7F7F" w:themeColor="text1" w:themeTint="80"/>
        </w:rPr>
      </w:pPr>
      <w:r w:rsidRPr="00236ADE">
        <w:rPr>
          <w:rFonts w:eastAsia="Lato"/>
          <w:color w:val="7F7F7F" w:themeColor="text1" w:themeTint="80"/>
        </w:rPr>
        <w:t xml:space="preserve">Please provide a summary of the activities undertaken by the school over this reporting period. </w:t>
      </w:r>
    </w:p>
    <w:p w14:paraId="6773C697" w14:textId="77777777" w:rsidR="008606E8" w:rsidRPr="00236ADE" w:rsidRDefault="008606E8">
      <w:pPr>
        <w:rPr>
          <w:rFonts w:eastAsia="Lato"/>
        </w:rPr>
      </w:pPr>
    </w:p>
    <w:p w14:paraId="3144A4B4" w14:textId="419000BA" w:rsidR="007C16BE" w:rsidRPr="00236ADE" w:rsidRDefault="008606E8" w:rsidP="007C16BE">
      <w:pPr>
        <w:rPr>
          <w:rFonts w:eastAsia="Lato"/>
        </w:rPr>
      </w:pPr>
      <w:r w:rsidRPr="00236ADE">
        <w:rPr>
          <w:rFonts w:eastAsia="Lato"/>
        </w:rPr>
        <w:t>In the second year of our contract</w:t>
      </w:r>
      <w:r w:rsidR="499EC3D2" w:rsidRPr="00236ADE">
        <w:rPr>
          <w:rFonts w:eastAsia="Lato"/>
        </w:rPr>
        <w:t xml:space="preserve">, we have run </w:t>
      </w:r>
      <w:r w:rsidRPr="00236ADE">
        <w:rPr>
          <w:rFonts w:eastAsia="Lato"/>
        </w:rPr>
        <w:t xml:space="preserve">four </w:t>
      </w:r>
      <w:r w:rsidR="499EC3D2" w:rsidRPr="00236ADE">
        <w:rPr>
          <w:rFonts w:eastAsia="Lato"/>
        </w:rPr>
        <w:t xml:space="preserve">research commissioning rounds and recruited </w:t>
      </w:r>
      <w:r w:rsidR="002B3C79" w:rsidRPr="00236ADE">
        <w:rPr>
          <w:rFonts w:eastAsia="Lato"/>
        </w:rPr>
        <w:t>3</w:t>
      </w:r>
      <w:r w:rsidR="499EC3D2" w:rsidRPr="00236ADE">
        <w:rPr>
          <w:rFonts w:eastAsia="Lato"/>
        </w:rPr>
        <w:t xml:space="preserve"> </w:t>
      </w:r>
      <w:r w:rsidR="002B3C79" w:rsidRPr="00236ADE">
        <w:rPr>
          <w:rFonts w:eastAsia="Lato"/>
        </w:rPr>
        <w:t>Primary Care Clinician</w:t>
      </w:r>
      <w:r w:rsidR="499EC3D2" w:rsidRPr="00236ADE">
        <w:rPr>
          <w:rFonts w:eastAsia="Lato"/>
        </w:rPr>
        <w:t xml:space="preserve"> </w:t>
      </w:r>
      <w:r w:rsidR="00D2007B" w:rsidRPr="00236ADE">
        <w:rPr>
          <w:rFonts w:eastAsia="Lato"/>
        </w:rPr>
        <w:t>C</w:t>
      </w:r>
      <w:r w:rsidR="499EC3D2" w:rsidRPr="00236ADE">
        <w:rPr>
          <w:rFonts w:eastAsia="Lato"/>
        </w:rPr>
        <w:t xml:space="preserve">areer </w:t>
      </w:r>
      <w:r w:rsidR="00D2007B" w:rsidRPr="00236ADE">
        <w:rPr>
          <w:rFonts w:eastAsia="Lato"/>
        </w:rPr>
        <w:t>P</w:t>
      </w:r>
      <w:r w:rsidR="499EC3D2" w:rsidRPr="00236ADE">
        <w:rPr>
          <w:rFonts w:eastAsia="Lato"/>
        </w:rPr>
        <w:t>rogression fellows</w:t>
      </w:r>
      <w:r w:rsidR="00FF69AC" w:rsidRPr="00236ADE">
        <w:rPr>
          <w:rFonts w:eastAsia="Lato"/>
        </w:rPr>
        <w:t>,</w:t>
      </w:r>
      <w:r w:rsidR="499EC3D2" w:rsidRPr="00236ADE">
        <w:rPr>
          <w:rFonts w:eastAsia="Lato"/>
        </w:rPr>
        <w:t xml:space="preserve"> </w:t>
      </w:r>
      <w:r w:rsidR="002B3C79" w:rsidRPr="00236ADE">
        <w:rPr>
          <w:rFonts w:eastAsia="Lato"/>
        </w:rPr>
        <w:t>5</w:t>
      </w:r>
      <w:r w:rsidR="499EC3D2" w:rsidRPr="00236ADE">
        <w:rPr>
          <w:rFonts w:eastAsia="Lato"/>
        </w:rPr>
        <w:t xml:space="preserve"> post-doctoral fellows</w:t>
      </w:r>
      <w:r w:rsidR="00FF69AC" w:rsidRPr="00236ADE">
        <w:rPr>
          <w:rFonts w:eastAsia="Lato"/>
        </w:rPr>
        <w:t xml:space="preserve"> as well as</w:t>
      </w:r>
      <w:r w:rsidR="0034664D" w:rsidRPr="00236ADE">
        <w:rPr>
          <w:rFonts w:eastAsia="Lato"/>
        </w:rPr>
        <w:t xml:space="preserve"> </w:t>
      </w:r>
      <w:r w:rsidR="00D2007B" w:rsidRPr="00236ADE">
        <w:rPr>
          <w:rFonts w:eastAsia="Lato"/>
        </w:rPr>
        <w:t>9</w:t>
      </w:r>
      <w:r w:rsidR="0034664D" w:rsidRPr="00236ADE">
        <w:rPr>
          <w:rFonts w:eastAsia="Lato"/>
        </w:rPr>
        <w:t xml:space="preserve"> PhD students</w:t>
      </w:r>
      <w:r w:rsidR="0026388F" w:rsidRPr="00236ADE">
        <w:rPr>
          <w:rFonts w:eastAsia="Lato"/>
        </w:rPr>
        <w:t xml:space="preserve">. Two new board members have been recruited, an Academic Lead for </w:t>
      </w:r>
      <w:r w:rsidR="00EE264C" w:rsidRPr="00236ADE">
        <w:rPr>
          <w:rFonts w:eastAsia="Lato"/>
        </w:rPr>
        <w:t>Patient and Public Involvement and Engagement and</w:t>
      </w:r>
      <w:r w:rsidR="00032A15" w:rsidRPr="00236ADE">
        <w:rPr>
          <w:rFonts w:eastAsia="Lato"/>
        </w:rPr>
        <w:t xml:space="preserve"> an Academic Lead for Equality, </w:t>
      </w:r>
      <w:proofErr w:type="gramStart"/>
      <w:r w:rsidR="00032A15" w:rsidRPr="00236ADE">
        <w:rPr>
          <w:rFonts w:eastAsia="Lato"/>
        </w:rPr>
        <w:t>Diversity</w:t>
      </w:r>
      <w:proofErr w:type="gramEnd"/>
      <w:r w:rsidR="00032A15" w:rsidRPr="00236ADE">
        <w:rPr>
          <w:rFonts w:eastAsia="Lato"/>
        </w:rPr>
        <w:t xml:space="preserve"> and Inclusion.</w:t>
      </w:r>
      <w:r w:rsidR="004200E6" w:rsidRPr="00236ADE">
        <w:rPr>
          <w:rFonts w:eastAsia="Lato"/>
        </w:rPr>
        <w:t xml:space="preserve"> A second cohort o</w:t>
      </w:r>
      <w:r w:rsidR="00A40726" w:rsidRPr="00236ADE">
        <w:rPr>
          <w:rFonts w:eastAsia="Lato"/>
        </w:rPr>
        <w:t xml:space="preserve">f students has been recruited to the </w:t>
      </w:r>
      <w:proofErr w:type="spellStart"/>
      <w:r w:rsidR="00A40726" w:rsidRPr="00236ADE">
        <w:rPr>
          <w:rFonts w:eastAsia="Lato"/>
        </w:rPr>
        <w:t>Wellcome</w:t>
      </w:r>
      <w:proofErr w:type="spellEnd"/>
      <w:r w:rsidR="00A40726" w:rsidRPr="00236ADE">
        <w:rPr>
          <w:rFonts w:eastAsia="Lato"/>
        </w:rPr>
        <w:t xml:space="preserve"> funded PhD Programme for Primary Care Clinicians</w:t>
      </w:r>
      <w:r w:rsidR="007C517C" w:rsidRPr="00236ADE">
        <w:rPr>
          <w:rFonts w:eastAsia="Lato"/>
        </w:rPr>
        <w:t>. All awards in the first cohort were made to GPs and this year additional work was undertaken by the SPCR Academic Capacity Development Leads to work with</w:t>
      </w:r>
      <w:r w:rsidR="0000209F" w:rsidRPr="00236ADE">
        <w:rPr>
          <w:rFonts w:eastAsia="Lato"/>
        </w:rPr>
        <w:t xml:space="preserve"> primary care networks within other disciplines to widen awareness and participation in the scheme which resulted in a more diverse applicant field and two awards being made to Pharmacists.</w:t>
      </w:r>
      <w:r w:rsidR="007C16BE" w:rsidRPr="007C16BE">
        <w:rPr>
          <w:rFonts w:eastAsia="Lato"/>
        </w:rPr>
        <w:t xml:space="preserve"> </w:t>
      </w:r>
      <w:r w:rsidR="007C16BE">
        <w:rPr>
          <w:rFonts w:eastAsia="Lato"/>
        </w:rPr>
        <w:t>In addition to the</w:t>
      </w:r>
      <w:r w:rsidR="007C16BE">
        <w:rPr>
          <w:rFonts w:eastAsia="Lato"/>
        </w:rPr>
        <w:t xml:space="preserve"> annual residential event for SPCR training award holders, a writing retreat was held for PhD students.</w:t>
      </w:r>
    </w:p>
    <w:p w14:paraId="6D028B4E" w14:textId="77777777" w:rsidR="00577275" w:rsidRPr="00236ADE" w:rsidRDefault="00577275">
      <w:pPr>
        <w:rPr>
          <w:rFonts w:eastAsia="Lato"/>
        </w:rPr>
      </w:pPr>
    </w:p>
    <w:p w14:paraId="487BC29A" w14:textId="3A778225" w:rsidR="00577275" w:rsidRPr="00236ADE" w:rsidRDefault="00577275">
      <w:pPr>
        <w:rPr>
          <w:rFonts w:eastAsia="Lato"/>
          <w:i/>
          <w:iCs/>
        </w:rPr>
      </w:pPr>
      <w:r w:rsidRPr="00236ADE">
        <w:rPr>
          <w:rFonts w:eastAsia="Lato"/>
        </w:rPr>
        <w:t>The SPCR board convened a working group to look at the</w:t>
      </w:r>
      <w:r w:rsidR="00E574D7" w:rsidRPr="00236ADE">
        <w:rPr>
          <w:rFonts w:eastAsia="Lato"/>
        </w:rPr>
        <w:t xml:space="preserve"> current </w:t>
      </w:r>
      <w:r w:rsidR="00753D8B" w:rsidRPr="00236ADE">
        <w:rPr>
          <w:rFonts w:eastAsia="Lato"/>
        </w:rPr>
        <w:t xml:space="preserve">landscape of primary care databases in the UK. The group was led by John Macleod (Bristol) and involved </w:t>
      </w:r>
      <w:r w:rsidR="007C16BE">
        <w:rPr>
          <w:rFonts w:eastAsia="Lato"/>
        </w:rPr>
        <w:t>academics</w:t>
      </w:r>
      <w:r w:rsidR="00753D8B" w:rsidRPr="00236ADE">
        <w:rPr>
          <w:rFonts w:eastAsia="Lato"/>
        </w:rPr>
        <w:t xml:space="preserve"> from across the school membership and beyond, working with</w:t>
      </w:r>
      <w:r w:rsidR="00494FD7" w:rsidRPr="00236ADE">
        <w:rPr>
          <w:rFonts w:eastAsia="Lato"/>
        </w:rPr>
        <w:t xml:space="preserve"> colleagues from</w:t>
      </w:r>
      <w:r w:rsidR="00753D8B" w:rsidRPr="00236ADE">
        <w:rPr>
          <w:rFonts w:eastAsia="Lato"/>
        </w:rPr>
        <w:t xml:space="preserve"> HDRUK</w:t>
      </w:r>
      <w:r w:rsidR="002C69B1" w:rsidRPr="00236ADE">
        <w:rPr>
          <w:rFonts w:eastAsia="Lato"/>
        </w:rPr>
        <w:t xml:space="preserve"> to undertake this</w:t>
      </w:r>
      <w:r w:rsidR="00E24CBC" w:rsidRPr="00236ADE">
        <w:rPr>
          <w:rFonts w:eastAsia="Lato"/>
        </w:rPr>
        <w:t>. The group has</w:t>
      </w:r>
      <w:r w:rsidR="00E574D7" w:rsidRPr="00236ADE">
        <w:rPr>
          <w:rFonts w:eastAsia="Lato"/>
        </w:rPr>
        <w:t xml:space="preserve"> submitted a paper for publication</w:t>
      </w:r>
      <w:r w:rsidR="00E24CBC" w:rsidRPr="00236ADE">
        <w:rPr>
          <w:rFonts w:eastAsia="Lato"/>
        </w:rPr>
        <w:t xml:space="preserve"> to the British Journal of General Practice </w:t>
      </w:r>
      <w:r w:rsidR="00040E29">
        <w:rPr>
          <w:rFonts w:eastAsia="Lato"/>
          <w:i/>
          <w:iCs/>
        </w:rPr>
        <w:t>‘</w:t>
      </w:r>
      <w:r w:rsidR="00E574D7" w:rsidRPr="00236ADE">
        <w:rPr>
          <w:rFonts w:eastAsia="Lato"/>
          <w:i/>
          <w:iCs/>
        </w:rPr>
        <w:t>Navigating the ecosystem of UK primary care electronic health records</w:t>
      </w:r>
      <w:r w:rsidR="00040E29">
        <w:rPr>
          <w:rFonts w:eastAsia="Lato"/>
          <w:i/>
          <w:iCs/>
        </w:rPr>
        <w:t>’</w:t>
      </w:r>
    </w:p>
    <w:p w14:paraId="499BDE33" w14:textId="7DB735FA" w:rsidR="486E48D6" w:rsidRPr="00236ADE" w:rsidRDefault="486E48D6" w:rsidP="486E48D6">
      <w:pPr>
        <w:rPr>
          <w:rFonts w:eastAsia="Lato"/>
          <w:i/>
          <w:iCs/>
        </w:rPr>
      </w:pPr>
    </w:p>
    <w:p w14:paraId="078186A7" w14:textId="2539F6D7" w:rsidR="7B2714C0" w:rsidRPr="00236ADE" w:rsidRDefault="7B2714C0" w:rsidP="1A2E5894">
      <w:pPr>
        <w:rPr>
          <w:rFonts w:eastAsia="Lato"/>
        </w:rPr>
      </w:pPr>
      <w:r w:rsidRPr="00236ADE">
        <w:rPr>
          <w:rFonts w:eastAsia="Lato"/>
        </w:rPr>
        <w:t>The directorate team have been working to collect additional data</w:t>
      </w:r>
      <w:r w:rsidR="13902BED" w:rsidRPr="00236ADE">
        <w:rPr>
          <w:rFonts w:eastAsia="Lato"/>
        </w:rPr>
        <w:t xml:space="preserve"> on our award holders across both our research and capacity programmes, this will enable us to make better informed decisions on how to target our</w:t>
      </w:r>
      <w:r w:rsidR="2E27CC93" w:rsidRPr="00236ADE">
        <w:rPr>
          <w:rFonts w:eastAsia="Lato"/>
        </w:rPr>
        <w:t xml:space="preserve"> funding to ensure we are delivering on our aims as well as being better able to respond to </w:t>
      </w:r>
      <w:r w:rsidR="09D76BC5" w:rsidRPr="00236ADE">
        <w:rPr>
          <w:rFonts w:eastAsia="Lato"/>
        </w:rPr>
        <w:t xml:space="preserve">emerging </w:t>
      </w:r>
      <w:r w:rsidR="2E27CC93" w:rsidRPr="00236ADE">
        <w:rPr>
          <w:rFonts w:eastAsia="Lato"/>
        </w:rPr>
        <w:t>research priorities</w:t>
      </w:r>
      <w:r w:rsidR="32CEBE33" w:rsidRPr="00236ADE">
        <w:rPr>
          <w:rFonts w:eastAsia="Lato"/>
        </w:rPr>
        <w:t>.</w:t>
      </w:r>
    </w:p>
    <w:p w14:paraId="2CC771F6" w14:textId="77777777" w:rsidR="008606E8" w:rsidRPr="00236ADE" w:rsidRDefault="008606E8">
      <w:pPr>
        <w:rPr>
          <w:rFonts w:eastAsia="Lato"/>
        </w:rPr>
      </w:pPr>
    </w:p>
    <w:p w14:paraId="572AF18F" w14:textId="116F696D" w:rsidR="00EC1879" w:rsidRPr="00236ADE" w:rsidRDefault="00E52D1F">
      <w:pPr>
        <w:rPr>
          <w:rFonts w:eastAsia="Lato"/>
          <w:color w:val="7F7F7F" w:themeColor="text1" w:themeTint="80"/>
        </w:rPr>
      </w:pPr>
      <w:r w:rsidRPr="00236ADE">
        <w:rPr>
          <w:rFonts w:eastAsia="Lato"/>
          <w:color w:val="7F7F7F" w:themeColor="text1" w:themeTint="80"/>
        </w:rPr>
        <w:t>Please focus on any significant new initiatives, studies or increased research capacity undertaken during the reporting period.</w:t>
      </w:r>
    </w:p>
    <w:p w14:paraId="4CA9EA11" w14:textId="77777777" w:rsidR="002A0783" w:rsidRPr="00236ADE" w:rsidRDefault="002A0783">
      <w:pPr>
        <w:rPr>
          <w:rFonts w:eastAsia="Lato"/>
        </w:rPr>
      </w:pPr>
    </w:p>
    <w:p w14:paraId="101D987C" w14:textId="0BEF18F8" w:rsidR="00D20FCB" w:rsidRPr="00236ADE" w:rsidRDefault="00487891" w:rsidP="00487891">
      <w:pPr>
        <w:rPr>
          <w:rFonts w:eastAsia="Lato"/>
        </w:rPr>
      </w:pPr>
      <w:r w:rsidRPr="00236ADE">
        <w:rPr>
          <w:rFonts w:eastAsia="Lato"/>
        </w:rPr>
        <w:t xml:space="preserve">The SPCR </w:t>
      </w:r>
      <w:r w:rsidR="007F21A8" w:rsidRPr="00236ADE">
        <w:rPr>
          <w:rFonts w:eastAsia="Lato"/>
        </w:rPr>
        <w:t xml:space="preserve">has responded to </w:t>
      </w:r>
      <w:r w:rsidR="002A0783" w:rsidRPr="00236ADE">
        <w:rPr>
          <w:rFonts w:eastAsia="Lato"/>
        </w:rPr>
        <w:t xml:space="preserve">feedback from </w:t>
      </w:r>
      <w:r w:rsidR="007F21A8" w:rsidRPr="00236ADE">
        <w:rPr>
          <w:rFonts w:eastAsia="Lato"/>
        </w:rPr>
        <w:t xml:space="preserve">our independent </w:t>
      </w:r>
      <w:r w:rsidR="0056215E">
        <w:rPr>
          <w:rFonts w:eastAsia="Lato"/>
        </w:rPr>
        <w:t xml:space="preserve">International </w:t>
      </w:r>
      <w:r w:rsidR="002A0783" w:rsidRPr="00236ADE">
        <w:rPr>
          <w:rFonts w:eastAsia="Lato"/>
        </w:rPr>
        <w:t xml:space="preserve">Advisory Committee and </w:t>
      </w:r>
      <w:r w:rsidR="007F21A8" w:rsidRPr="00236ADE">
        <w:rPr>
          <w:rFonts w:eastAsia="Lato"/>
        </w:rPr>
        <w:t>external fun</w:t>
      </w:r>
      <w:r w:rsidR="00A63741" w:rsidRPr="00236ADE">
        <w:rPr>
          <w:rFonts w:eastAsia="Lato"/>
        </w:rPr>
        <w:t>di</w:t>
      </w:r>
      <w:r w:rsidR="007F21A8" w:rsidRPr="00236ADE">
        <w:rPr>
          <w:rFonts w:eastAsia="Lato"/>
        </w:rPr>
        <w:t>ng</w:t>
      </w:r>
      <w:r w:rsidR="002A0783" w:rsidRPr="00236ADE">
        <w:rPr>
          <w:rFonts w:eastAsia="Lato"/>
        </w:rPr>
        <w:t xml:space="preserve"> panel to develop </w:t>
      </w:r>
      <w:r w:rsidR="00A63741" w:rsidRPr="00236ADE">
        <w:rPr>
          <w:rFonts w:eastAsia="Lato"/>
        </w:rPr>
        <w:t>two new funding rounds that represent</w:t>
      </w:r>
      <w:r w:rsidR="002A0783" w:rsidRPr="00236ADE">
        <w:rPr>
          <w:rFonts w:eastAsia="Lato"/>
        </w:rPr>
        <w:t xml:space="preserve"> </w:t>
      </w:r>
      <w:r w:rsidR="00A63741" w:rsidRPr="00236ADE">
        <w:rPr>
          <w:rFonts w:eastAsia="Lato"/>
        </w:rPr>
        <w:t>a n</w:t>
      </w:r>
      <w:r w:rsidR="00130D3A" w:rsidRPr="00236ADE">
        <w:rPr>
          <w:rFonts w:eastAsia="Lato"/>
        </w:rPr>
        <w:t xml:space="preserve">ovel </w:t>
      </w:r>
      <w:r w:rsidR="00A63741" w:rsidRPr="00236ADE">
        <w:rPr>
          <w:rFonts w:eastAsia="Lato"/>
        </w:rPr>
        <w:t xml:space="preserve">approach for the school. The first is to </w:t>
      </w:r>
      <w:r w:rsidR="00C74B38" w:rsidRPr="00236ADE">
        <w:rPr>
          <w:rFonts w:eastAsia="Lato"/>
        </w:rPr>
        <w:t xml:space="preserve">offer an opportunity to early career researchers within the school to lead a significant research project. The second is to </w:t>
      </w:r>
      <w:r w:rsidR="0023051A" w:rsidRPr="00236ADE">
        <w:rPr>
          <w:rFonts w:eastAsia="Lato"/>
        </w:rPr>
        <w:t xml:space="preserve">encourage participation from underrepresented professional groups and for the first time, the PI </w:t>
      </w:r>
      <w:r w:rsidR="00E25816" w:rsidRPr="00236ADE">
        <w:rPr>
          <w:rFonts w:eastAsia="Lato"/>
        </w:rPr>
        <w:t xml:space="preserve">for these projects </w:t>
      </w:r>
      <w:r w:rsidR="0023051A" w:rsidRPr="00236ADE">
        <w:rPr>
          <w:rFonts w:eastAsia="Lato"/>
        </w:rPr>
        <w:t xml:space="preserve">may be located outside </w:t>
      </w:r>
      <w:r w:rsidR="00E25816" w:rsidRPr="00236ADE">
        <w:rPr>
          <w:rFonts w:eastAsia="Lato"/>
        </w:rPr>
        <w:t xml:space="preserve">of </w:t>
      </w:r>
      <w:r w:rsidR="0023051A" w:rsidRPr="00236ADE">
        <w:rPr>
          <w:rFonts w:eastAsia="Lato"/>
        </w:rPr>
        <w:t xml:space="preserve">a school member department. </w:t>
      </w:r>
      <w:r w:rsidR="1BD2FBE9" w:rsidRPr="00236ADE">
        <w:rPr>
          <w:rFonts w:eastAsia="Lato"/>
        </w:rPr>
        <w:t xml:space="preserve">We </w:t>
      </w:r>
      <w:r w:rsidR="3C8DC93C" w:rsidRPr="00236ADE">
        <w:rPr>
          <w:rFonts w:eastAsia="Lato"/>
        </w:rPr>
        <w:t>anticipate</w:t>
      </w:r>
      <w:r w:rsidR="0023051A" w:rsidRPr="00236ADE">
        <w:rPr>
          <w:rFonts w:eastAsia="Lato"/>
        </w:rPr>
        <w:t xml:space="preserve"> that </w:t>
      </w:r>
      <w:r w:rsidR="00040E29" w:rsidRPr="00236ADE">
        <w:rPr>
          <w:rFonts w:eastAsia="Lato"/>
        </w:rPr>
        <w:t>both</w:t>
      </w:r>
      <w:r w:rsidR="0023051A" w:rsidRPr="00236ADE">
        <w:rPr>
          <w:rFonts w:eastAsia="Lato"/>
        </w:rPr>
        <w:t xml:space="preserve"> initiatives will strengthen </w:t>
      </w:r>
      <w:r w:rsidR="00D12A91" w:rsidRPr="00236ADE">
        <w:rPr>
          <w:rFonts w:eastAsia="Lato"/>
        </w:rPr>
        <w:t>research capacity across the school and increase our reach among Primary Care</w:t>
      </w:r>
      <w:r w:rsidR="00E963FD" w:rsidRPr="00236ADE">
        <w:rPr>
          <w:rFonts w:eastAsia="Lato"/>
        </w:rPr>
        <w:t xml:space="preserve"> practitioners, consolidating and building on </w:t>
      </w:r>
      <w:r w:rsidR="00130D3A" w:rsidRPr="00236ADE">
        <w:rPr>
          <w:rFonts w:eastAsia="Lato"/>
        </w:rPr>
        <w:t xml:space="preserve">existing research </w:t>
      </w:r>
      <w:r w:rsidR="00DE3097" w:rsidRPr="00236ADE">
        <w:rPr>
          <w:rFonts w:eastAsia="Lato"/>
        </w:rPr>
        <w:t>partnerships.</w:t>
      </w:r>
      <w:r w:rsidR="00D12A91" w:rsidRPr="00236ADE">
        <w:rPr>
          <w:rFonts w:eastAsia="Lato"/>
        </w:rPr>
        <w:t xml:space="preserve"> </w:t>
      </w:r>
      <w:r w:rsidR="000D20F5" w:rsidRPr="00236ADE">
        <w:rPr>
          <w:rFonts w:eastAsia="Lato"/>
        </w:rPr>
        <w:t xml:space="preserve">At a membership level, this has </w:t>
      </w:r>
      <w:r w:rsidR="001206ED">
        <w:rPr>
          <w:rFonts w:eastAsia="Lato"/>
        </w:rPr>
        <w:t>facilitated</w:t>
      </w:r>
      <w:r w:rsidR="000D20F5" w:rsidRPr="00236ADE">
        <w:rPr>
          <w:rFonts w:eastAsia="Lato"/>
        </w:rPr>
        <w:t xml:space="preserve"> conversations about strengthening connections with </w:t>
      </w:r>
      <w:r w:rsidR="00A822F9" w:rsidRPr="00236ADE">
        <w:rPr>
          <w:rFonts w:eastAsia="Lato"/>
        </w:rPr>
        <w:t>primary care research going on in other areas</w:t>
      </w:r>
      <w:r w:rsidR="008E69DC" w:rsidRPr="00236ADE">
        <w:rPr>
          <w:rFonts w:eastAsia="Lato"/>
        </w:rPr>
        <w:t xml:space="preserve"> of those institutions and encouraged a </w:t>
      </w:r>
      <w:r w:rsidR="00630C14">
        <w:rPr>
          <w:rFonts w:eastAsia="Lato"/>
        </w:rPr>
        <w:t>broader more inclusive</w:t>
      </w:r>
      <w:r w:rsidR="008E69DC" w:rsidRPr="00236ADE">
        <w:rPr>
          <w:rFonts w:eastAsia="Lato"/>
        </w:rPr>
        <w:t xml:space="preserve"> approach to school membership therein.</w:t>
      </w:r>
    </w:p>
    <w:p w14:paraId="55639146" w14:textId="77777777" w:rsidR="002A0783" w:rsidRPr="00236ADE" w:rsidRDefault="002A0783">
      <w:pPr>
        <w:rPr>
          <w:rFonts w:eastAsia="Lato"/>
        </w:rPr>
      </w:pPr>
    </w:p>
    <w:p w14:paraId="2581E067" w14:textId="77777777" w:rsidR="00EC1879" w:rsidRPr="00236ADE" w:rsidRDefault="00E52D1F">
      <w:pPr>
        <w:rPr>
          <w:rFonts w:eastAsia="Lato"/>
          <w:color w:val="7F7F7F" w:themeColor="text1" w:themeTint="80"/>
        </w:rPr>
      </w:pPr>
      <w:r w:rsidRPr="00236ADE">
        <w:rPr>
          <w:rFonts w:eastAsia="Lato"/>
          <w:color w:val="7F7F7F" w:themeColor="text1" w:themeTint="80"/>
        </w:rPr>
        <w:t>Please highlight those activities with a focus on strengthening the primary care research sector beyond school members and non-medical primary care research.</w:t>
      </w:r>
    </w:p>
    <w:p w14:paraId="40BF5DD1" w14:textId="45EB895F" w:rsidR="4C40A0C4" w:rsidRPr="00236ADE" w:rsidRDefault="4C40A0C4" w:rsidP="4C40A0C4">
      <w:pPr>
        <w:rPr>
          <w:rFonts w:eastAsia="Lato"/>
        </w:rPr>
      </w:pPr>
    </w:p>
    <w:p w14:paraId="78280F5D" w14:textId="502BFA37" w:rsidR="6C0403FC" w:rsidRPr="00236ADE" w:rsidRDefault="00683C36" w:rsidP="4C40A0C4">
      <w:pPr>
        <w:rPr>
          <w:rFonts w:eastAsia="Lato"/>
        </w:rPr>
      </w:pPr>
      <w:r w:rsidRPr="00236ADE">
        <w:rPr>
          <w:rFonts w:eastAsia="Lato"/>
        </w:rPr>
        <w:t>We have</w:t>
      </w:r>
      <w:r w:rsidR="6C0403FC" w:rsidRPr="00236ADE">
        <w:rPr>
          <w:rFonts w:eastAsia="Lato"/>
        </w:rPr>
        <w:t xml:space="preserve"> run a highly successful internship programme to date and this year ran a nationwide promotion </w:t>
      </w:r>
      <w:r w:rsidRPr="00236ADE">
        <w:rPr>
          <w:rFonts w:eastAsia="Lato"/>
        </w:rPr>
        <w:t>resulting</w:t>
      </w:r>
      <w:r w:rsidR="308B4D70" w:rsidRPr="00236ADE">
        <w:rPr>
          <w:rFonts w:eastAsia="Lato"/>
        </w:rPr>
        <w:t xml:space="preserve"> in a </w:t>
      </w:r>
      <w:r w:rsidR="539FD44A" w:rsidRPr="00236ADE">
        <w:rPr>
          <w:rFonts w:eastAsia="Lato"/>
        </w:rPr>
        <w:t>high number</w:t>
      </w:r>
      <w:r w:rsidR="308B4D70" w:rsidRPr="00236ADE">
        <w:rPr>
          <w:rFonts w:eastAsia="Lato"/>
        </w:rPr>
        <w:t xml:space="preserve"> of</w:t>
      </w:r>
      <w:r w:rsidR="045E8B55" w:rsidRPr="00236ADE">
        <w:rPr>
          <w:rFonts w:eastAsia="Lato"/>
        </w:rPr>
        <w:t xml:space="preserve"> strong</w:t>
      </w:r>
      <w:r w:rsidR="308B4D70" w:rsidRPr="00236ADE">
        <w:rPr>
          <w:rFonts w:eastAsia="Lato"/>
        </w:rPr>
        <w:t xml:space="preserve"> candidates</w:t>
      </w:r>
      <w:r w:rsidR="00416AEC" w:rsidRPr="00236ADE">
        <w:rPr>
          <w:rFonts w:eastAsia="Lato"/>
        </w:rPr>
        <w:t xml:space="preserve"> from outside of the </w:t>
      </w:r>
      <w:proofErr w:type="gramStart"/>
      <w:r w:rsidR="00416AEC" w:rsidRPr="00236ADE">
        <w:rPr>
          <w:rFonts w:eastAsia="Lato"/>
        </w:rPr>
        <w:t>School</w:t>
      </w:r>
      <w:proofErr w:type="gramEnd"/>
      <w:r w:rsidR="00416AEC" w:rsidRPr="00236ADE">
        <w:rPr>
          <w:rFonts w:eastAsia="Lato"/>
        </w:rPr>
        <w:t xml:space="preserve"> membership</w:t>
      </w:r>
      <w:r w:rsidR="308B4D70" w:rsidRPr="00236ADE">
        <w:rPr>
          <w:rFonts w:eastAsia="Lato"/>
        </w:rPr>
        <w:t>. Each member ringfenced one post for non-medical students</w:t>
      </w:r>
      <w:r w:rsidR="08B1F473" w:rsidRPr="00236ADE">
        <w:rPr>
          <w:rFonts w:eastAsia="Lato"/>
        </w:rPr>
        <w:t xml:space="preserve"> and we have received very positive feedback from both members and the interns</w:t>
      </w:r>
      <w:r w:rsidR="276CB184" w:rsidRPr="00236ADE">
        <w:rPr>
          <w:rFonts w:eastAsia="Lato"/>
        </w:rPr>
        <w:t>,</w:t>
      </w:r>
      <w:r w:rsidR="08B1F473" w:rsidRPr="00236ADE">
        <w:rPr>
          <w:rFonts w:eastAsia="Lato"/>
        </w:rPr>
        <w:t xml:space="preserve"> one of whom went on to win the SPCR George Lewith prize. We are working on a mechanism to track the i</w:t>
      </w:r>
      <w:r w:rsidR="1B61857D" w:rsidRPr="00236ADE">
        <w:rPr>
          <w:rFonts w:eastAsia="Lato"/>
        </w:rPr>
        <w:t xml:space="preserve">mpact of these internships and are working to expand our offering in this area. </w:t>
      </w:r>
      <w:r w:rsidR="00392A0B" w:rsidRPr="00236ADE">
        <w:rPr>
          <w:rFonts w:eastAsia="Lato"/>
        </w:rPr>
        <w:t>179 applications were received for the 2022 internship programme</w:t>
      </w:r>
      <w:r w:rsidR="00BA05FF" w:rsidRPr="00236ADE">
        <w:rPr>
          <w:rFonts w:eastAsia="Lato"/>
        </w:rPr>
        <w:t>.</w:t>
      </w:r>
    </w:p>
    <w:p w14:paraId="0011A860" w14:textId="77777777" w:rsidR="00A118F6" w:rsidRPr="00236ADE" w:rsidRDefault="00A118F6" w:rsidP="4C40A0C4">
      <w:pPr>
        <w:rPr>
          <w:rFonts w:eastAsia="Lato"/>
        </w:rPr>
      </w:pPr>
    </w:p>
    <w:p w14:paraId="65EC8D75" w14:textId="1FFDF5CA" w:rsidR="00A118F6" w:rsidRPr="00236ADE" w:rsidRDefault="00A118F6" w:rsidP="4C40A0C4">
      <w:pPr>
        <w:rPr>
          <w:rFonts w:eastAsia="Lato"/>
        </w:rPr>
      </w:pPr>
      <w:r w:rsidRPr="00236ADE">
        <w:rPr>
          <w:rFonts w:eastAsia="Lato"/>
        </w:rPr>
        <w:t>In addition to the planned funding rounds</w:t>
      </w:r>
      <w:r w:rsidR="005532D2" w:rsidRPr="00236ADE">
        <w:rPr>
          <w:rFonts w:eastAsia="Lato"/>
        </w:rPr>
        <w:t>,</w:t>
      </w:r>
      <w:r w:rsidR="00113173" w:rsidRPr="00236ADE">
        <w:rPr>
          <w:rFonts w:eastAsia="Lato"/>
        </w:rPr>
        <w:t xml:space="preserve"> research funded during this year </w:t>
      </w:r>
      <w:r w:rsidR="00B60ED6" w:rsidRPr="00236ADE">
        <w:rPr>
          <w:rFonts w:eastAsia="Lato"/>
        </w:rPr>
        <w:t>involves</w:t>
      </w:r>
      <w:r w:rsidR="00113173" w:rsidRPr="00236ADE">
        <w:rPr>
          <w:rFonts w:eastAsia="Lato"/>
        </w:rPr>
        <w:t xml:space="preserve"> collaborations </w:t>
      </w:r>
      <w:r w:rsidR="00B60ED6" w:rsidRPr="00236ADE">
        <w:rPr>
          <w:rFonts w:eastAsia="Lato"/>
        </w:rPr>
        <w:t xml:space="preserve">outside of the school </w:t>
      </w:r>
      <w:proofErr w:type="gramStart"/>
      <w:r w:rsidR="00D10FD0" w:rsidRPr="00236ADE">
        <w:rPr>
          <w:rFonts w:eastAsia="Lato"/>
        </w:rPr>
        <w:t>including;</w:t>
      </w:r>
      <w:proofErr w:type="gramEnd"/>
      <w:r w:rsidR="00265529" w:rsidRPr="00236ADE">
        <w:rPr>
          <w:rFonts w:eastAsia="Lato"/>
        </w:rPr>
        <w:t xml:space="preserve"> Baylor College of Medicine </w:t>
      </w:r>
      <w:r w:rsidR="00D12BA4" w:rsidRPr="00236ADE">
        <w:rPr>
          <w:rFonts w:eastAsia="Lato"/>
        </w:rPr>
        <w:t>(</w:t>
      </w:r>
      <w:r w:rsidR="00265529" w:rsidRPr="00236ADE">
        <w:rPr>
          <w:rFonts w:eastAsia="Lato"/>
        </w:rPr>
        <w:t>Houston</w:t>
      </w:r>
      <w:r w:rsidR="00D12BA4" w:rsidRPr="00236ADE">
        <w:rPr>
          <w:rFonts w:eastAsia="Lato"/>
        </w:rPr>
        <w:t>), Leeds University, Newcastle University,</w:t>
      </w:r>
      <w:r w:rsidR="00811DC0" w:rsidRPr="00236ADE">
        <w:rPr>
          <w:rFonts w:eastAsia="Lato"/>
        </w:rPr>
        <w:t xml:space="preserve"> Warwick Medical School,</w:t>
      </w:r>
      <w:r w:rsidR="007B4D42" w:rsidRPr="00236ADE">
        <w:rPr>
          <w:rFonts w:eastAsia="Lato"/>
        </w:rPr>
        <w:t xml:space="preserve"> Imperial</w:t>
      </w:r>
      <w:r w:rsidR="004A272D" w:rsidRPr="00236ADE">
        <w:rPr>
          <w:rFonts w:eastAsia="Lato"/>
        </w:rPr>
        <w:t xml:space="preserve"> College London,</w:t>
      </w:r>
      <w:r w:rsidR="00CC2D9A" w:rsidRPr="00236ADE">
        <w:rPr>
          <w:rFonts w:eastAsia="Lato"/>
        </w:rPr>
        <w:t xml:space="preserve"> Medway School of Pharmacy,</w:t>
      </w:r>
      <w:r w:rsidR="00D12BA4" w:rsidRPr="00236ADE">
        <w:rPr>
          <w:rFonts w:eastAsia="Lato"/>
        </w:rPr>
        <w:t xml:space="preserve"> </w:t>
      </w:r>
      <w:proofErr w:type="spellStart"/>
      <w:r w:rsidR="00D12BA4" w:rsidRPr="00236ADE">
        <w:rPr>
          <w:rFonts w:eastAsia="Lato"/>
        </w:rPr>
        <w:t>PenARC</w:t>
      </w:r>
      <w:proofErr w:type="spellEnd"/>
      <w:r w:rsidR="004A272D" w:rsidRPr="00236ADE">
        <w:rPr>
          <w:rFonts w:eastAsia="Lato"/>
        </w:rPr>
        <w:t xml:space="preserve"> and many NHS trusts</w:t>
      </w:r>
      <w:r w:rsidR="007364AB" w:rsidRPr="00236ADE">
        <w:rPr>
          <w:rFonts w:eastAsia="Lato"/>
        </w:rPr>
        <w:t xml:space="preserve"> as well as third sector partners.</w:t>
      </w:r>
      <w:r w:rsidR="007039A1" w:rsidRPr="00236ADE">
        <w:rPr>
          <w:rFonts w:eastAsia="Lato"/>
        </w:rPr>
        <w:t xml:space="preserve"> One of our SPCR funded PhD students has received additional funding from an industry partner for their </w:t>
      </w:r>
      <w:r w:rsidR="00CB5D9D" w:rsidRPr="00236ADE">
        <w:rPr>
          <w:rFonts w:eastAsia="Lato"/>
        </w:rPr>
        <w:t xml:space="preserve">project </w:t>
      </w:r>
      <w:r w:rsidR="00CB5D9D" w:rsidRPr="00236ADE">
        <w:rPr>
          <w:rFonts w:eastAsia="Lato"/>
          <w:i/>
          <w:iCs/>
        </w:rPr>
        <w:t>Creating and intervention for type 2 diabetes for those of African Heritage</w:t>
      </w:r>
      <w:r w:rsidR="00CB5D9D" w:rsidRPr="00236ADE">
        <w:rPr>
          <w:rFonts w:eastAsia="Lato"/>
        </w:rPr>
        <w:t xml:space="preserve"> </w:t>
      </w:r>
      <w:r w:rsidR="00A176AB" w:rsidRPr="00236ADE">
        <w:rPr>
          <w:rFonts w:eastAsia="Lato"/>
        </w:rPr>
        <w:t xml:space="preserve">(ref </w:t>
      </w:r>
      <w:r w:rsidR="002A032F" w:rsidRPr="00236ADE">
        <w:rPr>
          <w:rFonts w:eastAsia="Lato"/>
        </w:rPr>
        <w:t>C054)</w:t>
      </w:r>
    </w:p>
    <w:p w14:paraId="06C0383D" w14:textId="77777777" w:rsidR="002A0783" w:rsidRPr="00FC3652" w:rsidRDefault="002A0783" w:rsidP="00FC3652">
      <w:pPr>
        <w:rPr>
          <w:rFonts w:eastAsia="Lato"/>
        </w:rPr>
      </w:pPr>
    </w:p>
    <w:p w14:paraId="028AA703" w14:textId="77777777" w:rsidR="00EC1879" w:rsidRPr="00236ADE" w:rsidRDefault="00E52D1F">
      <w:pPr>
        <w:rPr>
          <w:rFonts w:eastAsia="Lato"/>
          <w:color w:val="7F7F7F" w:themeColor="text1" w:themeTint="80"/>
        </w:rPr>
      </w:pPr>
      <w:r w:rsidRPr="00236ADE">
        <w:rPr>
          <w:rFonts w:eastAsia="Lato"/>
          <w:color w:val="7F7F7F" w:themeColor="text1" w:themeTint="80"/>
        </w:rPr>
        <w:t>Please briefly describe how the research being conducted responds to the needs of local populations and local health care systems and addresses the nation’s changing demographics.</w:t>
      </w:r>
    </w:p>
    <w:p w14:paraId="155AE3D5" w14:textId="77777777" w:rsidR="00D13F81" w:rsidRPr="00236ADE" w:rsidRDefault="00D13F81" w:rsidP="00D13F81">
      <w:pPr>
        <w:rPr>
          <w:rFonts w:eastAsia="Lato"/>
        </w:rPr>
      </w:pPr>
    </w:p>
    <w:p w14:paraId="3F4A75B5" w14:textId="42C6C1C1" w:rsidR="00FC2DF1" w:rsidRPr="00236ADE" w:rsidRDefault="00D13F81" w:rsidP="005D6BFC">
      <w:pPr>
        <w:rPr>
          <w:rFonts w:eastAsia="Lato"/>
        </w:rPr>
      </w:pPr>
      <w:r w:rsidRPr="00236ADE">
        <w:rPr>
          <w:rFonts w:eastAsia="Lato"/>
        </w:rPr>
        <w:t xml:space="preserve">SPCR member departments work closely with their </w:t>
      </w:r>
      <w:r w:rsidR="00A164C0" w:rsidRPr="00236ADE">
        <w:rPr>
          <w:rFonts w:eastAsia="Lato"/>
        </w:rPr>
        <w:t xml:space="preserve">existing </w:t>
      </w:r>
      <w:r w:rsidRPr="00236ADE">
        <w:rPr>
          <w:rFonts w:eastAsia="Lato"/>
        </w:rPr>
        <w:t>local networks</w:t>
      </w:r>
      <w:r w:rsidR="00A164C0" w:rsidRPr="00236ADE">
        <w:rPr>
          <w:rFonts w:eastAsia="Lato"/>
        </w:rPr>
        <w:t xml:space="preserve"> to inform decision making on </w:t>
      </w:r>
      <w:r w:rsidR="00425FFB" w:rsidRPr="00236ADE">
        <w:rPr>
          <w:rFonts w:eastAsia="Lato"/>
        </w:rPr>
        <w:t xml:space="preserve">the research proposals submitted to the SPCR. </w:t>
      </w:r>
      <w:r w:rsidR="00B42A43" w:rsidRPr="00236ADE">
        <w:rPr>
          <w:rFonts w:eastAsia="Lato"/>
        </w:rPr>
        <w:t>We would like to highlight the work undertaken as part of the below studies</w:t>
      </w:r>
      <w:r w:rsidR="00F06024" w:rsidRPr="00236ADE">
        <w:rPr>
          <w:rFonts w:eastAsia="Lato"/>
        </w:rPr>
        <w:t xml:space="preserve"> and initiatives</w:t>
      </w:r>
      <w:r w:rsidR="00B42A43" w:rsidRPr="00236ADE">
        <w:rPr>
          <w:rFonts w:eastAsia="Lato"/>
        </w:rPr>
        <w:t>:</w:t>
      </w:r>
    </w:p>
    <w:p w14:paraId="5E02990B" w14:textId="77777777" w:rsidR="00FC2DF1" w:rsidRPr="00236ADE" w:rsidRDefault="00FC2DF1" w:rsidP="005D6BFC">
      <w:pPr>
        <w:rPr>
          <w:rFonts w:eastAsia="Lato"/>
        </w:rPr>
      </w:pPr>
    </w:p>
    <w:p w14:paraId="1EADECB7" w14:textId="77B7EAF2" w:rsidR="00D13F81" w:rsidRDefault="00B42A43" w:rsidP="005D6BFC">
      <w:pPr>
        <w:rPr>
          <w:rFonts w:eastAsia="Lato"/>
        </w:rPr>
      </w:pPr>
      <w:r w:rsidRPr="00236ADE">
        <w:rPr>
          <w:rFonts w:eastAsia="Lato"/>
        </w:rPr>
        <w:t>The</w:t>
      </w:r>
      <w:r w:rsidR="007D111A" w:rsidRPr="00236ADE">
        <w:rPr>
          <w:rFonts w:eastAsia="Lato"/>
        </w:rPr>
        <w:t xml:space="preserve"> </w:t>
      </w:r>
      <w:proofErr w:type="spellStart"/>
      <w:r w:rsidR="007D111A" w:rsidRPr="00236ADE">
        <w:rPr>
          <w:rFonts w:eastAsia="Lato"/>
        </w:rPr>
        <w:t>M</w:t>
      </w:r>
      <w:r w:rsidR="00C5521D" w:rsidRPr="00236ADE">
        <w:rPr>
          <w:rFonts w:eastAsia="Lato"/>
        </w:rPr>
        <w:t>aPP</w:t>
      </w:r>
      <w:proofErr w:type="spellEnd"/>
      <w:r w:rsidR="007D111A" w:rsidRPr="00236ADE">
        <w:rPr>
          <w:rFonts w:eastAsia="Lato"/>
        </w:rPr>
        <w:t xml:space="preserve"> study (ref</w:t>
      </w:r>
      <w:r w:rsidR="00C5521D" w:rsidRPr="00236ADE">
        <w:rPr>
          <w:rFonts w:eastAsia="Lato"/>
        </w:rPr>
        <w:t xml:space="preserve"> 509)</w:t>
      </w:r>
      <w:r w:rsidR="005D6BFC" w:rsidRPr="00236ADE">
        <w:rPr>
          <w:rFonts w:eastAsia="Lato"/>
        </w:rPr>
        <w:t xml:space="preserve"> </w:t>
      </w:r>
      <w:r w:rsidR="00755F69" w:rsidRPr="00236ADE">
        <w:rPr>
          <w:rFonts w:eastAsia="Lato"/>
        </w:rPr>
        <w:t xml:space="preserve">being </w:t>
      </w:r>
      <w:r w:rsidRPr="00236ADE">
        <w:rPr>
          <w:rFonts w:eastAsia="Lato"/>
        </w:rPr>
        <w:t>carried out</w:t>
      </w:r>
      <w:r w:rsidR="00755F69" w:rsidRPr="00236ADE">
        <w:rPr>
          <w:rFonts w:eastAsia="Lato"/>
        </w:rPr>
        <w:t xml:space="preserve"> at Bristol University</w:t>
      </w:r>
      <w:r w:rsidR="007D111A" w:rsidRPr="00236ADE">
        <w:rPr>
          <w:rFonts w:eastAsia="Lato"/>
        </w:rPr>
        <w:t xml:space="preserve"> </w:t>
      </w:r>
      <w:r w:rsidR="003127AE" w:rsidRPr="00236ADE">
        <w:rPr>
          <w:rFonts w:eastAsia="Lato"/>
        </w:rPr>
        <w:t xml:space="preserve">to find out whether </w:t>
      </w:r>
      <w:r w:rsidR="00073154" w:rsidRPr="00236ADE">
        <w:rPr>
          <w:rFonts w:eastAsia="Lato"/>
        </w:rPr>
        <w:t xml:space="preserve">annual </w:t>
      </w:r>
      <w:r w:rsidR="003127AE" w:rsidRPr="00236ADE">
        <w:rPr>
          <w:rFonts w:eastAsia="Lato"/>
        </w:rPr>
        <w:t>reviews</w:t>
      </w:r>
      <w:r w:rsidR="00EB412C" w:rsidRPr="00236ADE">
        <w:rPr>
          <w:rFonts w:eastAsia="Lato"/>
        </w:rPr>
        <w:t xml:space="preserve"> for those with Long-term conditions</w:t>
      </w:r>
      <w:r w:rsidR="003127AE" w:rsidRPr="00236ADE">
        <w:rPr>
          <w:rFonts w:eastAsia="Lato"/>
        </w:rPr>
        <w:t xml:space="preserve"> might be helpful to people living in deprived areas. </w:t>
      </w:r>
      <w:r w:rsidR="005D6BFC" w:rsidRPr="00236ADE">
        <w:rPr>
          <w:rFonts w:eastAsia="Lato"/>
        </w:rPr>
        <w:t xml:space="preserve">If there is a favourable response from patients and practices to the </w:t>
      </w:r>
      <w:proofErr w:type="spellStart"/>
      <w:r w:rsidR="005D6BFC" w:rsidRPr="00236ADE">
        <w:rPr>
          <w:rFonts w:eastAsia="Lato"/>
        </w:rPr>
        <w:t>MaxWELL</w:t>
      </w:r>
      <w:proofErr w:type="spellEnd"/>
      <w:r w:rsidR="005D6BFC" w:rsidRPr="00236ADE">
        <w:rPr>
          <w:rFonts w:eastAsia="Lato"/>
        </w:rPr>
        <w:t xml:space="preserve"> way of</w:t>
      </w:r>
      <w:r w:rsidR="00EB412C" w:rsidRPr="00236ADE">
        <w:rPr>
          <w:rFonts w:eastAsia="Lato"/>
        </w:rPr>
        <w:t xml:space="preserve"> </w:t>
      </w:r>
      <w:r w:rsidR="005D6BFC" w:rsidRPr="00236ADE">
        <w:rPr>
          <w:rFonts w:eastAsia="Lato"/>
        </w:rPr>
        <w:t>delivering long-term condition reviews, this will influence policy locally among GP practices</w:t>
      </w:r>
      <w:r w:rsidR="003127AE" w:rsidRPr="00236ADE">
        <w:rPr>
          <w:rFonts w:eastAsia="Lato"/>
        </w:rPr>
        <w:t xml:space="preserve"> </w:t>
      </w:r>
      <w:r w:rsidR="005D6BFC" w:rsidRPr="00236ADE">
        <w:rPr>
          <w:rFonts w:eastAsia="Lato"/>
        </w:rPr>
        <w:t xml:space="preserve">and more widely via </w:t>
      </w:r>
      <w:r w:rsidR="00251AF7" w:rsidRPr="00236ADE">
        <w:rPr>
          <w:rFonts w:eastAsia="Lato"/>
        </w:rPr>
        <w:t>ICBs.</w:t>
      </w:r>
    </w:p>
    <w:p w14:paraId="3B523DBF" w14:textId="77777777" w:rsidR="00AD37AB" w:rsidRDefault="00AD37AB" w:rsidP="005D6BFC">
      <w:pPr>
        <w:rPr>
          <w:rFonts w:eastAsia="Lato"/>
        </w:rPr>
      </w:pPr>
    </w:p>
    <w:p w14:paraId="75914813" w14:textId="77777777" w:rsidR="003D11E5" w:rsidRDefault="00AD37AB" w:rsidP="00D13F81">
      <w:pPr>
        <w:rPr>
          <w:rFonts w:eastAsia="Lato"/>
        </w:rPr>
      </w:pPr>
      <w:r>
        <w:rPr>
          <w:rFonts w:eastAsia="Lato"/>
        </w:rPr>
        <w:t xml:space="preserve">The ELOPE-GDM study (ref 562), a collaboration across four of the SPCR member departments, </w:t>
      </w:r>
      <w:r w:rsidRPr="00AD37AB">
        <w:rPr>
          <w:rFonts w:eastAsia="Lato"/>
        </w:rPr>
        <w:t>explor</w:t>
      </w:r>
      <w:r>
        <w:rPr>
          <w:rFonts w:eastAsia="Lato"/>
        </w:rPr>
        <w:t>es</w:t>
      </w:r>
      <w:r w:rsidRPr="00AD37AB">
        <w:rPr>
          <w:rFonts w:eastAsia="Lato"/>
        </w:rPr>
        <w:t xml:space="preserve"> the lived experiences of gestational diabetes and motivations for</w:t>
      </w:r>
      <w:r>
        <w:rPr>
          <w:rFonts w:eastAsia="Lato"/>
        </w:rPr>
        <w:t xml:space="preserve"> </w:t>
      </w:r>
      <w:r w:rsidRPr="00AD37AB">
        <w:rPr>
          <w:rFonts w:eastAsia="Lato"/>
        </w:rPr>
        <w:t>lifestyle change amongst diverse women living in the UK</w:t>
      </w:r>
      <w:r>
        <w:rPr>
          <w:rFonts w:eastAsia="Lato"/>
        </w:rPr>
        <w:t xml:space="preserve">. The project seeks to </w:t>
      </w:r>
      <w:r w:rsidRPr="00AD37AB">
        <w:rPr>
          <w:rFonts w:eastAsia="Lato"/>
        </w:rPr>
        <w:t>identify whether extra attention needs to be given to the needs of women who develop GDM, and whether added efforts are required to prevent and</w:t>
      </w:r>
      <w:r>
        <w:rPr>
          <w:rFonts w:eastAsia="Lato"/>
        </w:rPr>
        <w:t xml:space="preserve"> </w:t>
      </w:r>
      <w:r w:rsidRPr="00AD37AB">
        <w:rPr>
          <w:rFonts w:eastAsia="Lato"/>
        </w:rPr>
        <w:t xml:space="preserve">treat GDM, </w:t>
      </w:r>
      <w:r w:rsidRPr="00AD37AB">
        <w:rPr>
          <w:rFonts w:eastAsia="Lato"/>
        </w:rPr>
        <w:t>to</w:t>
      </w:r>
      <w:r w:rsidRPr="00AD37AB">
        <w:rPr>
          <w:rFonts w:eastAsia="Lato"/>
        </w:rPr>
        <w:t xml:space="preserve"> reduce burden on primary care</w:t>
      </w:r>
      <w:r>
        <w:rPr>
          <w:rFonts w:eastAsia="Lato"/>
        </w:rPr>
        <w:t xml:space="preserve"> and </w:t>
      </w:r>
      <w:r w:rsidRPr="00AD37AB">
        <w:rPr>
          <w:rFonts w:eastAsia="Lato"/>
        </w:rPr>
        <w:t>will provide the ideal opportunity to</w:t>
      </w:r>
      <w:r>
        <w:rPr>
          <w:rFonts w:eastAsia="Lato"/>
        </w:rPr>
        <w:t xml:space="preserve"> </w:t>
      </w:r>
      <w:r w:rsidRPr="00AD37AB">
        <w:rPr>
          <w:rFonts w:eastAsia="Lato"/>
        </w:rPr>
        <w:t>develop interventions that can be targeted at this relatively young and otherwise healthy population to reduce the risks of developing longer term health conditions</w:t>
      </w:r>
      <w:r w:rsidR="007C16BE">
        <w:rPr>
          <w:rFonts w:eastAsia="Lato"/>
        </w:rPr>
        <w:t xml:space="preserve">. </w:t>
      </w:r>
    </w:p>
    <w:p w14:paraId="134DBA0B" w14:textId="77777777" w:rsidR="003D11E5" w:rsidRDefault="003D11E5" w:rsidP="00D13F81">
      <w:pPr>
        <w:rPr>
          <w:rFonts w:eastAsia="Lato"/>
        </w:rPr>
      </w:pPr>
    </w:p>
    <w:p w14:paraId="58FD53DD" w14:textId="61870167" w:rsidR="00D13F81" w:rsidRPr="00236ADE" w:rsidRDefault="00ED0773" w:rsidP="00D13F81">
      <w:pPr>
        <w:rPr>
          <w:rFonts w:eastAsia="Lato"/>
        </w:rPr>
      </w:pPr>
      <w:r w:rsidRPr="00236ADE">
        <w:rPr>
          <w:rFonts w:eastAsia="Lato"/>
        </w:rPr>
        <w:t xml:space="preserve">SPCR funded </w:t>
      </w:r>
      <w:r w:rsidR="00920914" w:rsidRPr="00236ADE">
        <w:rPr>
          <w:rFonts w:eastAsia="Lato"/>
        </w:rPr>
        <w:t>research</w:t>
      </w:r>
      <w:r w:rsidRPr="00236ADE">
        <w:rPr>
          <w:rFonts w:eastAsia="Lato"/>
        </w:rPr>
        <w:t xml:space="preserve"> has provided the building blocks for </w:t>
      </w:r>
      <w:r w:rsidR="001231FB" w:rsidRPr="00236ADE">
        <w:rPr>
          <w:rFonts w:eastAsia="Lato"/>
        </w:rPr>
        <w:t>work</w:t>
      </w:r>
      <w:r w:rsidR="000022B4" w:rsidRPr="00236ADE">
        <w:rPr>
          <w:rFonts w:eastAsia="Lato"/>
        </w:rPr>
        <w:t xml:space="preserve"> at Nottingham</w:t>
      </w:r>
      <w:r w:rsidR="001231FB" w:rsidRPr="00236ADE">
        <w:rPr>
          <w:rFonts w:eastAsia="Lato"/>
        </w:rPr>
        <w:t xml:space="preserve"> </w:t>
      </w:r>
      <w:r w:rsidRPr="00236ADE">
        <w:rPr>
          <w:rFonts w:eastAsia="Lato"/>
        </w:rPr>
        <w:t>current</w:t>
      </w:r>
      <w:r w:rsidR="001231FB" w:rsidRPr="00236ADE">
        <w:rPr>
          <w:rFonts w:eastAsia="Lato"/>
        </w:rPr>
        <w:t>ly supporting the Pharmacy First policy</w:t>
      </w:r>
      <w:r w:rsidR="004D2948" w:rsidRPr="00236ADE">
        <w:rPr>
          <w:rFonts w:eastAsia="Lato"/>
        </w:rPr>
        <w:t>.</w:t>
      </w:r>
      <w:r w:rsidR="00F8321F" w:rsidRPr="00236ADE">
        <w:rPr>
          <w:rFonts w:eastAsia="Lato"/>
        </w:rPr>
        <w:t xml:space="preserve"> The study</w:t>
      </w:r>
      <w:r w:rsidR="00323C33" w:rsidRPr="00236ADE">
        <w:rPr>
          <w:rFonts w:eastAsia="Lato"/>
        </w:rPr>
        <w:t xml:space="preserve"> </w:t>
      </w:r>
      <w:r w:rsidR="00323C33" w:rsidRPr="00236ADE">
        <w:rPr>
          <w:rFonts w:eastAsia="Lato"/>
          <w:i/>
          <w:iCs/>
        </w:rPr>
        <w:t>Supporting community pharmacists in skin condition management; a research priority setting exercise</w:t>
      </w:r>
      <w:r w:rsidR="004D2948" w:rsidRPr="00236ADE">
        <w:rPr>
          <w:rFonts w:eastAsia="Lato"/>
        </w:rPr>
        <w:t xml:space="preserve"> (ref 522)</w:t>
      </w:r>
      <w:r w:rsidR="00F8321F" w:rsidRPr="00236ADE">
        <w:rPr>
          <w:rFonts w:eastAsia="Lato"/>
        </w:rPr>
        <w:t xml:space="preserve"> has led to further research</w:t>
      </w:r>
      <w:r w:rsidR="00EB6298" w:rsidRPr="00236ADE">
        <w:rPr>
          <w:rFonts w:eastAsia="Lato"/>
        </w:rPr>
        <w:t xml:space="preserve"> supporting self-management of common skin con</w:t>
      </w:r>
      <w:r w:rsidR="000022B4" w:rsidRPr="00236ADE">
        <w:rPr>
          <w:rFonts w:eastAsia="Lato"/>
        </w:rPr>
        <w:t xml:space="preserve">ditions and exploring clinical inequalities in care relating to skin of colour, and inequalities of access to services for people with skin </w:t>
      </w:r>
      <w:r w:rsidR="00251AF7" w:rsidRPr="00236ADE">
        <w:rPr>
          <w:rFonts w:eastAsia="Lato"/>
        </w:rPr>
        <w:t>conditions.</w:t>
      </w:r>
      <w:r w:rsidR="000022B4" w:rsidRPr="00236ADE">
        <w:rPr>
          <w:rFonts w:eastAsia="Lato"/>
        </w:rPr>
        <w:t xml:space="preserve"> </w:t>
      </w:r>
    </w:p>
    <w:p w14:paraId="232E86A7" w14:textId="77777777" w:rsidR="00D13F81" w:rsidRPr="00236ADE" w:rsidRDefault="00D13F81" w:rsidP="00D13F81">
      <w:pPr>
        <w:rPr>
          <w:rFonts w:eastAsia="Lato"/>
        </w:rPr>
      </w:pPr>
    </w:p>
    <w:p w14:paraId="4AF08C1C" w14:textId="0CE8E473" w:rsidR="00D13F81" w:rsidRPr="00236ADE" w:rsidRDefault="00524BD1" w:rsidP="00D13F81">
      <w:pPr>
        <w:rPr>
          <w:rFonts w:eastAsia="Lato"/>
        </w:rPr>
      </w:pPr>
      <w:r w:rsidRPr="00236ADE">
        <w:rPr>
          <w:rFonts w:eastAsia="Lato"/>
          <w:i/>
          <w:iCs/>
        </w:rPr>
        <w:lastRenderedPageBreak/>
        <w:t>Violence and abuse towards General Practice Staff</w:t>
      </w:r>
      <w:r w:rsidRPr="00236ADE">
        <w:rPr>
          <w:rFonts w:eastAsia="Lato"/>
        </w:rPr>
        <w:t xml:space="preserve"> (ref 614)</w:t>
      </w:r>
      <w:r w:rsidR="00D13F81" w:rsidRPr="00236ADE">
        <w:rPr>
          <w:rFonts w:eastAsia="Lato"/>
        </w:rPr>
        <w:t xml:space="preserve"> </w:t>
      </w:r>
      <w:r w:rsidR="000574F3" w:rsidRPr="00236ADE">
        <w:rPr>
          <w:rFonts w:eastAsia="Lato"/>
        </w:rPr>
        <w:t xml:space="preserve">seeks to better understand the experience and perceived impacts of patient / public initiated violence and abuse toward staff in general practice settings. This responds to the increase in such workplace incidents in general practice in the last few years, especially since the first national lockdown necessitated by the COVID-19 pandemic. As violent incidents and abusive behaviours affect staff wellbeing, workforce capacity, and in turn, the actual patient care, the research also explores measures staff believe may help prevent / reduce risk as well as support those who have been </w:t>
      </w:r>
      <w:r w:rsidR="00251AF7" w:rsidRPr="00236ADE">
        <w:rPr>
          <w:rFonts w:eastAsia="Lato"/>
        </w:rPr>
        <w:t>affected.</w:t>
      </w:r>
    </w:p>
    <w:p w14:paraId="721485E5" w14:textId="77777777" w:rsidR="001A6805" w:rsidRPr="00236ADE" w:rsidRDefault="001A6805" w:rsidP="00D13F81">
      <w:pPr>
        <w:rPr>
          <w:rFonts w:eastAsia="Lato"/>
        </w:rPr>
      </w:pPr>
    </w:p>
    <w:p w14:paraId="62334C62" w14:textId="602B2178" w:rsidR="008F5903" w:rsidRPr="00236ADE" w:rsidRDefault="001A6805" w:rsidP="00D13F81">
      <w:pPr>
        <w:rPr>
          <w:rFonts w:eastAsia="Lato"/>
        </w:rPr>
      </w:pPr>
      <w:r w:rsidRPr="00236ADE">
        <w:rPr>
          <w:rFonts w:eastAsia="Lato"/>
        </w:rPr>
        <w:t>At Keele</w:t>
      </w:r>
      <w:r w:rsidR="00351056" w:rsidRPr="00236ADE">
        <w:rPr>
          <w:rFonts w:eastAsia="Lato"/>
        </w:rPr>
        <w:t>, examples of research pump-primed or directly funded by SPCR closely aligning with regional and national NHS/NIHR priorities include: (i) development of tools and new knowledge to support surveillance and monitoring of musculoskeletal health and care (e.g. identifying health inequalities, predicting long-term outcomes, understand the role of comorbidities, estimate benefits and harms of treatment); (ii) design and evaluation of interventions to improve care for musculoskeletal or mental health conditions; (iii) improving early recognition and management of anxiety and depression in people with other long-term conditions and in pregnancy; (iv) early detection of dementia progression; and (v) a series of projects focusing on engaging with underserved ethnic communities to improve the diversity of Patient and Public Involvement in research</w:t>
      </w:r>
      <w:r w:rsidR="00BA05FF" w:rsidRPr="00236ADE">
        <w:rPr>
          <w:rFonts w:eastAsia="Lato"/>
        </w:rPr>
        <w:t>.</w:t>
      </w:r>
    </w:p>
    <w:p w14:paraId="78FB6FA0" w14:textId="349FA2BD" w:rsidR="288CBAE6" w:rsidRPr="00236ADE" w:rsidRDefault="288CBAE6" w:rsidP="288CBAE6">
      <w:pPr>
        <w:rPr>
          <w:rFonts w:eastAsia="Lato"/>
        </w:rPr>
      </w:pPr>
    </w:p>
    <w:p w14:paraId="1C35DE88" w14:textId="77777777" w:rsidR="00EC1879" w:rsidRPr="00236ADE" w:rsidRDefault="00E52D1F">
      <w:pPr>
        <w:rPr>
          <w:rFonts w:eastAsia="Lato"/>
        </w:rPr>
      </w:pPr>
      <w:r w:rsidRPr="00236ADE">
        <w:rPr>
          <w:rFonts w:eastAsia="Lato"/>
          <w:color w:val="7F7F7F" w:themeColor="text1" w:themeTint="80"/>
        </w:rPr>
        <w:t>Please describe the strategies that have been put in place to facilitate collaboration and comment on how these are translating into new partnerships so far</w:t>
      </w:r>
      <w:r w:rsidRPr="00236ADE">
        <w:rPr>
          <w:rFonts w:eastAsia="Lato"/>
        </w:rPr>
        <w:t>.</w:t>
      </w:r>
    </w:p>
    <w:p w14:paraId="6424B96D" w14:textId="77777777" w:rsidR="0002498B" w:rsidRPr="00236ADE" w:rsidRDefault="0002498B" w:rsidP="0008139C">
      <w:pPr>
        <w:rPr>
          <w:rFonts w:eastAsia="Lato"/>
        </w:rPr>
      </w:pPr>
    </w:p>
    <w:p w14:paraId="1520EF02" w14:textId="7FCFAE9F" w:rsidR="0008139C" w:rsidRDefault="0008139C" w:rsidP="0008139C">
      <w:pPr>
        <w:rPr>
          <w:rFonts w:eastAsia="Lato"/>
        </w:rPr>
      </w:pPr>
      <w:r w:rsidRPr="00236ADE">
        <w:rPr>
          <w:rFonts w:eastAsia="Lato"/>
        </w:rPr>
        <w:t xml:space="preserve">The </w:t>
      </w:r>
      <w:proofErr w:type="gramStart"/>
      <w:r w:rsidRPr="00236ADE">
        <w:rPr>
          <w:rFonts w:eastAsia="Lato"/>
        </w:rPr>
        <w:t>School</w:t>
      </w:r>
      <w:proofErr w:type="gramEnd"/>
      <w:r w:rsidRPr="00236ADE">
        <w:rPr>
          <w:rFonts w:eastAsia="Lato"/>
        </w:rPr>
        <w:t xml:space="preserve"> has supported the development of the Community Nursing Research Community of Practice, hosted by the Queen’s Nursing Institute, by funding a series of webinars and online bite-size research masterclasses for members to meet, network and learn from each other</w:t>
      </w:r>
      <w:r w:rsidR="00854811" w:rsidRPr="00236ADE">
        <w:rPr>
          <w:rFonts w:eastAsia="Lato"/>
        </w:rPr>
        <w:t xml:space="preserve">. Two more are planned for </w:t>
      </w:r>
      <w:proofErr w:type="gramStart"/>
      <w:r w:rsidR="00854811" w:rsidRPr="00236ADE">
        <w:rPr>
          <w:rFonts w:eastAsia="Lato"/>
        </w:rPr>
        <w:t>2023</w:t>
      </w:r>
      <w:proofErr w:type="gramEnd"/>
    </w:p>
    <w:p w14:paraId="7D6A622E" w14:textId="77777777" w:rsidR="00FC3652" w:rsidRPr="00236ADE" w:rsidRDefault="00FC3652" w:rsidP="0008139C">
      <w:pPr>
        <w:rPr>
          <w:rFonts w:eastAsia="Lato"/>
        </w:rPr>
      </w:pPr>
    </w:p>
    <w:tbl>
      <w:tblPr>
        <w:tblStyle w:val="TableGrid"/>
        <w:tblW w:w="0" w:type="auto"/>
        <w:tblLook w:val="04A0" w:firstRow="1" w:lastRow="0" w:firstColumn="1" w:lastColumn="0" w:noHBand="0" w:noVBand="1"/>
      </w:tblPr>
      <w:tblGrid>
        <w:gridCol w:w="3006"/>
        <w:gridCol w:w="3006"/>
        <w:gridCol w:w="3007"/>
      </w:tblGrid>
      <w:tr w:rsidR="00067CF6" w:rsidRPr="00236ADE" w14:paraId="1DBCBD86" w14:textId="77777777" w:rsidTr="00067CF6">
        <w:tc>
          <w:tcPr>
            <w:tcW w:w="3006" w:type="dxa"/>
          </w:tcPr>
          <w:p w14:paraId="46233ED2" w14:textId="524DFC92" w:rsidR="00067CF6" w:rsidRPr="00236ADE" w:rsidRDefault="00067CF6" w:rsidP="0008139C">
            <w:pPr>
              <w:rPr>
                <w:rFonts w:eastAsia="Lato"/>
              </w:rPr>
            </w:pPr>
            <w:r w:rsidRPr="00236ADE">
              <w:rPr>
                <w:rFonts w:eastAsia="Lato"/>
              </w:rPr>
              <w:t>December 2022</w:t>
            </w:r>
          </w:p>
        </w:tc>
        <w:tc>
          <w:tcPr>
            <w:tcW w:w="3006" w:type="dxa"/>
          </w:tcPr>
          <w:p w14:paraId="512DDB0D" w14:textId="736DD991" w:rsidR="00067CF6" w:rsidRPr="00236ADE" w:rsidRDefault="00067CF6" w:rsidP="0008139C">
            <w:pPr>
              <w:rPr>
                <w:rFonts w:eastAsia="Lato"/>
              </w:rPr>
            </w:pPr>
            <w:r w:rsidRPr="00236ADE">
              <w:rPr>
                <w:rFonts w:eastAsia="Lato"/>
              </w:rPr>
              <w:t>Value of research for patients and community nursing</w:t>
            </w:r>
          </w:p>
        </w:tc>
        <w:tc>
          <w:tcPr>
            <w:tcW w:w="3007" w:type="dxa"/>
          </w:tcPr>
          <w:p w14:paraId="6739569D" w14:textId="38A6FF56" w:rsidR="00067CF6" w:rsidRPr="00236ADE" w:rsidRDefault="00854811" w:rsidP="0008139C">
            <w:pPr>
              <w:rPr>
                <w:rFonts w:eastAsia="Lato"/>
              </w:rPr>
            </w:pPr>
            <w:r w:rsidRPr="00236ADE">
              <w:rPr>
                <w:rFonts w:eastAsia="Lato"/>
              </w:rPr>
              <w:t>150 attendees</w:t>
            </w:r>
          </w:p>
        </w:tc>
      </w:tr>
      <w:tr w:rsidR="00067CF6" w:rsidRPr="00236ADE" w14:paraId="2E3BF93C" w14:textId="77777777" w:rsidTr="00067CF6">
        <w:tc>
          <w:tcPr>
            <w:tcW w:w="3006" w:type="dxa"/>
          </w:tcPr>
          <w:p w14:paraId="6CBF7426" w14:textId="04A0C7B1" w:rsidR="00067CF6" w:rsidRPr="00236ADE" w:rsidRDefault="00067CF6" w:rsidP="0008139C">
            <w:pPr>
              <w:rPr>
                <w:rFonts w:eastAsia="Lato"/>
              </w:rPr>
            </w:pPr>
            <w:r w:rsidRPr="00236ADE">
              <w:rPr>
                <w:rFonts w:eastAsia="Lato"/>
              </w:rPr>
              <w:t>January 2023</w:t>
            </w:r>
          </w:p>
        </w:tc>
        <w:tc>
          <w:tcPr>
            <w:tcW w:w="3006" w:type="dxa"/>
          </w:tcPr>
          <w:p w14:paraId="07D7D809" w14:textId="6D61971A" w:rsidR="00067CF6" w:rsidRPr="00236ADE" w:rsidRDefault="00067CF6" w:rsidP="0008139C">
            <w:pPr>
              <w:rPr>
                <w:rFonts w:eastAsia="Lato"/>
              </w:rPr>
            </w:pPr>
            <w:r w:rsidRPr="00236ADE">
              <w:rPr>
                <w:rFonts w:eastAsia="Lato"/>
              </w:rPr>
              <w:t>Critically appraising qualitative research papers</w:t>
            </w:r>
          </w:p>
        </w:tc>
        <w:tc>
          <w:tcPr>
            <w:tcW w:w="3007" w:type="dxa"/>
          </w:tcPr>
          <w:p w14:paraId="7E87790E" w14:textId="100EC55E" w:rsidR="00067CF6" w:rsidRPr="00236ADE" w:rsidRDefault="00854811" w:rsidP="0008139C">
            <w:pPr>
              <w:rPr>
                <w:rFonts w:eastAsia="Lato"/>
              </w:rPr>
            </w:pPr>
            <w:r w:rsidRPr="00236ADE">
              <w:rPr>
                <w:rFonts w:eastAsia="Lato"/>
              </w:rPr>
              <w:t>144 attendees</w:t>
            </w:r>
          </w:p>
        </w:tc>
      </w:tr>
      <w:tr w:rsidR="00067CF6" w:rsidRPr="00236ADE" w14:paraId="2767F8D5" w14:textId="77777777" w:rsidTr="00067CF6">
        <w:tc>
          <w:tcPr>
            <w:tcW w:w="3006" w:type="dxa"/>
          </w:tcPr>
          <w:p w14:paraId="4DD5430B" w14:textId="3E11F72B" w:rsidR="00067CF6" w:rsidRPr="00236ADE" w:rsidRDefault="00067CF6" w:rsidP="0008139C">
            <w:pPr>
              <w:rPr>
                <w:rFonts w:eastAsia="Lato"/>
              </w:rPr>
            </w:pPr>
            <w:r w:rsidRPr="00236ADE">
              <w:rPr>
                <w:rFonts w:eastAsia="Lato"/>
              </w:rPr>
              <w:t>February 2023</w:t>
            </w:r>
          </w:p>
        </w:tc>
        <w:tc>
          <w:tcPr>
            <w:tcW w:w="3006" w:type="dxa"/>
          </w:tcPr>
          <w:p w14:paraId="0979EB72" w14:textId="473A7BEC" w:rsidR="00067CF6" w:rsidRPr="00236ADE" w:rsidRDefault="00067CF6" w:rsidP="0008139C">
            <w:pPr>
              <w:rPr>
                <w:rFonts w:eastAsia="Lato"/>
              </w:rPr>
            </w:pPr>
            <w:r w:rsidRPr="00236ADE">
              <w:rPr>
                <w:rFonts w:eastAsia="Lato"/>
              </w:rPr>
              <w:t>Writing about your research for publication</w:t>
            </w:r>
          </w:p>
        </w:tc>
        <w:tc>
          <w:tcPr>
            <w:tcW w:w="3007" w:type="dxa"/>
          </w:tcPr>
          <w:p w14:paraId="254A1DDA" w14:textId="186B201D" w:rsidR="00067CF6" w:rsidRPr="00236ADE" w:rsidRDefault="00854811" w:rsidP="0008139C">
            <w:pPr>
              <w:rPr>
                <w:rFonts w:eastAsia="Lato"/>
              </w:rPr>
            </w:pPr>
            <w:r w:rsidRPr="00236ADE">
              <w:rPr>
                <w:rFonts w:eastAsia="Lato"/>
              </w:rPr>
              <w:t>129 attendees</w:t>
            </w:r>
          </w:p>
        </w:tc>
      </w:tr>
      <w:tr w:rsidR="00067CF6" w:rsidRPr="00236ADE" w14:paraId="73BF4D9E" w14:textId="77777777" w:rsidTr="00067CF6">
        <w:tc>
          <w:tcPr>
            <w:tcW w:w="3006" w:type="dxa"/>
          </w:tcPr>
          <w:p w14:paraId="5AC1C58A" w14:textId="4B9C8142" w:rsidR="00067CF6" w:rsidRPr="00236ADE" w:rsidRDefault="00067CF6" w:rsidP="0008139C">
            <w:pPr>
              <w:rPr>
                <w:rFonts w:eastAsia="Lato"/>
              </w:rPr>
            </w:pPr>
            <w:r w:rsidRPr="00236ADE">
              <w:rPr>
                <w:rFonts w:eastAsia="Lato"/>
              </w:rPr>
              <w:t>March 2023</w:t>
            </w:r>
          </w:p>
        </w:tc>
        <w:tc>
          <w:tcPr>
            <w:tcW w:w="3006" w:type="dxa"/>
          </w:tcPr>
          <w:p w14:paraId="56C427E2" w14:textId="29F0427D" w:rsidR="00067CF6" w:rsidRPr="00236ADE" w:rsidRDefault="00067CF6" w:rsidP="0008139C">
            <w:pPr>
              <w:rPr>
                <w:rFonts w:eastAsia="Lato"/>
              </w:rPr>
            </w:pPr>
            <w:r w:rsidRPr="00236ADE">
              <w:rPr>
                <w:rFonts w:eastAsia="Lato"/>
              </w:rPr>
              <w:t>Introduction to qualitative data analysis: Reflexive Thematic Analysis</w:t>
            </w:r>
          </w:p>
        </w:tc>
        <w:tc>
          <w:tcPr>
            <w:tcW w:w="3007" w:type="dxa"/>
          </w:tcPr>
          <w:p w14:paraId="3E3AE065" w14:textId="146E2F3F" w:rsidR="00067CF6" w:rsidRPr="00236ADE" w:rsidRDefault="00854811" w:rsidP="0008139C">
            <w:pPr>
              <w:rPr>
                <w:rFonts w:eastAsia="Lato"/>
              </w:rPr>
            </w:pPr>
            <w:r w:rsidRPr="00236ADE">
              <w:rPr>
                <w:rFonts w:eastAsia="Lato"/>
              </w:rPr>
              <w:t>126 attendees</w:t>
            </w:r>
          </w:p>
        </w:tc>
      </w:tr>
    </w:tbl>
    <w:p w14:paraId="0D7CDD17" w14:textId="77777777" w:rsidR="00FC3652" w:rsidRDefault="00FC3652" w:rsidP="0008139C">
      <w:pPr>
        <w:rPr>
          <w:rFonts w:eastAsia="Lato"/>
        </w:rPr>
      </w:pPr>
    </w:p>
    <w:p w14:paraId="72111CE2" w14:textId="660FF6D3" w:rsidR="00067CF6" w:rsidRPr="00236ADE" w:rsidRDefault="00AC69B1" w:rsidP="0008139C">
      <w:pPr>
        <w:rPr>
          <w:rFonts w:eastAsia="Lato"/>
          <w:i/>
          <w:iCs/>
        </w:rPr>
      </w:pPr>
      <w:r w:rsidRPr="00236ADE">
        <w:rPr>
          <w:rFonts w:eastAsia="Lato"/>
        </w:rPr>
        <w:t>The facilitator</w:t>
      </w:r>
      <w:r w:rsidR="009B6E27" w:rsidRPr="00236ADE">
        <w:rPr>
          <w:rFonts w:eastAsia="Lato"/>
        </w:rPr>
        <w:t xml:space="preserve">, a previous SPCR fellow, </w:t>
      </w:r>
      <w:r w:rsidRPr="00236ADE">
        <w:rPr>
          <w:rFonts w:eastAsia="Lato"/>
        </w:rPr>
        <w:t xml:space="preserve">has stated that </w:t>
      </w:r>
      <w:r w:rsidRPr="00236ADE">
        <w:rPr>
          <w:rFonts w:eastAsia="Lato"/>
          <w:i/>
          <w:iCs/>
        </w:rPr>
        <w:t xml:space="preserve">the returns on the investment have been huge, increasing the reach and impact of the Queen’s Nursing Institute Community Nursing Research Forum and School for Primary Care Research across the community nursing workforce. The modest investment is having a dramatic, </w:t>
      </w:r>
      <w:proofErr w:type="gramStart"/>
      <w:r w:rsidRPr="00236ADE">
        <w:rPr>
          <w:rFonts w:eastAsia="Lato"/>
          <w:i/>
          <w:iCs/>
        </w:rPr>
        <w:t>short-term</w:t>
      </w:r>
      <w:proofErr w:type="gramEnd"/>
      <w:r w:rsidRPr="00236ADE">
        <w:rPr>
          <w:rFonts w:eastAsia="Lato"/>
          <w:i/>
          <w:iCs/>
        </w:rPr>
        <w:t xml:space="preserve"> and long-term impact on developing primary care and community nurse-led research activity.</w:t>
      </w:r>
    </w:p>
    <w:p w14:paraId="03485A05" w14:textId="77777777" w:rsidR="00067CF6" w:rsidRPr="00236ADE" w:rsidRDefault="00067CF6" w:rsidP="0008139C">
      <w:pPr>
        <w:rPr>
          <w:rFonts w:eastAsia="Lato"/>
        </w:rPr>
      </w:pPr>
    </w:p>
    <w:p w14:paraId="67A1C40D" w14:textId="21E6F5DB" w:rsidR="001B4754" w:rsidRPr="00236ADE" w:rsidRDefault="00F854D1" w:rsidP="001B4754">
      <w:pPr>
        <w:rPr>
          <w:rFonts w:eastAsia="Lato"/>
        </w:rPr>
      </w:pPr>
      <w:r w:rsidRPr="00236ADE">
        <w:rPr>
          <w:rFonts w:eastAsia="Lato"/>
        </w:rPr>
        <w:t>Building on the success of the</w:t>
      </w:r>
      <w:r w:rsidR="001B4754" w:rsidRPr="00236ADE">
        <w:rPr>
          <w:rFonts w:eastAsia="Lato"/>
        </w:rPr>
        <w:t xml:space="preserve"> Community Nursing Research Community of Practice, the inaugural SPCR Supporting Nursing Research in Primary Care event took place at Keele in February</w:t>
      </w:r>
      <w:r w:rsidR="00E87B5A" w:rsidRPr="00236ADE">
        <w:rPr>
          <w:rFonts w:eastAsia="Lato"/>
        </w:rPr>
        <w:t xml:space="preserve">. This event was open to all </w:t>
      </w:r>
      <w:r w:rsidR="001B4754" w:rsidRPr="00236ADE">
        <w:rPr>
          <w:rFonts w:eastAsia="Lato"/>
        </w:rPr>
        <w:t xml:space="preserve">with the aim of raising the profile, </w:t>
      </w:r>
      <w:proofErr w:type="gramStart"/>
      <w:r w:rsidR="001B4754" w:rsidRPr="00236ADE">
        <w:rPr>
          <w:rFonts w:eastAsia="Lato"/>
        </w:rPr>
        <w:t>capacity</w:t>
      </w:r>
      <w:proofErr w:type="gramEnd"/>
      <w:r w:rsidR="001B4754" w:rsidRPr="00236ADE">
        <w:rPr>
          <w:rFonts w:eastAsia="Lato"/>
        </w:rPr>
        <w:t xml:space="preserve"> and opportunity of nursing research. The </w:t>
      </w:r>
      <w:proofErr w:type="gramStart"/>
      <w:r w:rsidR="001B4754" w:rsidRPr="00236ADE">
        <w:rPr>
          <w:rFonts w:eastAsia="Lato"/>
        </w:rPr>
        <w:t>School</w:t>
      </w:r>
      <w:proofErr w:type="gramEnd"/>
      <w:r w:rsidR="001B4754" w:rsidRPr="00236ADE">
        <w:rPr>
          <w:rFonts w:eastAsia="Lato"/>
        </w:rPr>
        <w:t xml:space="preserve"> has committed to support this event for the </w:t>
      </w:r>
      <w:r w:rsidR="001B4754" w:rsidRPr="00236ADE">
        <w:rPr>
          <w:rFonts w:eastAsia="Lato"/>
        </w:rPr>
        <w:lastRenderedPageBreak/>
        <w:t xml:space="preserve">duration of the contract to assist with its strategic aims to demystify research funding for nurses, develop clinical academic roles that are fit for purpose and to work to an ambitious research ambition that is meaningful to patient care and outcomes. </w:t>
      </w:r>
    </w:p>
    <w:p w14:paraId="25949B2F" w14:textId="43EB1D1D" w:rsidR="00F854D1" w:rsidRPr="00236ADE" w:rsidRDefault="00F854D1" w:rsidP="0008139C">
      <w:pPr>
        <w:rPr>
          <w:rFonts w:eastAsia="Lato"/>
        </w:rPr>
      </w:pPr>
    </w:p>
    <w:p w14:paraId="7E5136A4" w14:textId="0726B6C5" w:rsidR="000839EF" w:rsidRDefault="000839EF" w:rsidP="0008139C">
      <w:pPr>
        <w:rPr>
          <w:rFonts w:eastAsia="Lato"/>
        </w:rPr>
      </w:pPr>
      <w:r w:rsidRPr="00236ADE">
        <w:rPr>
          <w:rFonts w:eastAsia="Lato"/>
        </w:rPr>
        <w:t>The school provided continued support to the 2023 GP ACF conference held at Edgehill University</w:t>
      </w:r>
      <w:r w:rsidR="00B703A1" w:rsidRPr="00236ADE">
        <w:rPr>
          <w:rFonts w:eastAsia="Lato"/>
        </w:rPr>
        <w:t xml:space="preserve"> including facilitating the nationwide training leads meeting and hands on input into the conference itself.</w:t>
      </w:r>
    </w:p>
    <w:p w14:paraId="5F6603D4" w14:textId="77777777" w:rsidR="003D11E5" w:rsidRPr="00236ADE" w:rsidRDefault="003D11E5" w:rsidP="0008139C">
      <w:pPr>
        <w:rPr>
          <w:rFonts w:eastAsia="Lato"/>
        </w:rPr>
      </w:pPr>
    </w:p>
    <w:p w14:paraId="59A6C2FA" w14:textId="77777777" w:rsidR="00EC1879" w:rsidRDefault="00E52D1F">
      <w:pPr>
        <w:rPr>
          <w:rFonts w:eastAsia="Lato"/>
          <w:color w:val="7F7F7F" w:themeColor="text1" w:themeTint="80"/>
        </w:rPr>
      </w:pPr>
      <w:r w:rsidRPr="00236ADE">
        <w:rPr>
          <w:rFonts w:eastAsia="Lato"/>
          <w:color w:val="7F7F7F" w:themeColor="text1" w:themeTint="80"/>
        </w:rPr>
        <w:t xml:space="preserve">Please also comment on any developments or activities that pertain to ensuring equality, </w:t>
      </w:r>
      <w:proofErr w:type="gramStart"/>
      <w:r w:rsidRPr="00236ADE">
        <w:rPr>
          <w:rFonts w:eastAsia="Lato"/>
          <w:color w:val="7F7F7F" w:themeColor="text1" w:themeTint="80"/>
        </w:rPr>
        <w:t>diversity</w:t>
      </w:r>
      <w:proofErr w:type="gramEnd"/>
      <w:r w:rsidRPr="00236ADE">
        <w:rPr>
          <w:rFonts w:eastAsia="Lato"/>
          <w:color w:val="7F7F7F" w:themeColor="text1" w:themeTint="80"/>
        </w:rPr>
        <w:t xml:space="preserve"> and inclusion. </w:t>
      </w:r>
    </w:p>
    <w:p w14:paraId="36C2B113" w14:textId="77777777" w:rsidR="00FC3652" w:rsidRPr="00236ADE" w:rsidRDefault="00FC3652">
      <w:pPr>
        <w:rPr>
          <w:rFonts w:eastAsia="Lato"/>
          <w:color w:val="7F7F7F" w:themeColor="text1" w:themeTint="80"/>
        </w:rPr>
      </w:pPr>
    </w:p>
    <w:p w14:paraId="6CF4A8B7" w14:textId="5F365688" w:rsidR="0069748E" w:rsidRPr="00236ADE" w:rsidRDefault="00F66869" w:rsidP="00F66869">
      <w:pPr>
        <w:rPr>
          <w:rFonts w:eastAsia="Lato"/>
        </w:rPr>
      </w:pPr>
      <w:r w:rsidRPr="00236ADE">
        <w:rPr>
          <w:rFonts w:eastAsia="Lato"/>
        </w:rPr>
        <w:t>This year, the SPCR board has</w:t>
      </w:r>
      <w:r w:rsidR="00D20758" w:rsidRPr="00236ADE">
        <w:rPr>
          <w:rFonts w:eastAsia="Lato"/>
        </w:rPr>
        <w:t xml:space="preserve"> appointed</w:t>
      </w:r>
      <w:r w:rsidRPr="00236ADE">
        <w:rPr>
          <w:rFonts w:eastAsia="Lato"/>
        </w:rPr>
        <w:t xml:space="preserve"> a new member as Academic Lead </w:t>
      </w:r>
      <w:r w:rsidR="00D20758" w:rsidRPr="00236ADE">
        <w:rPr>
          <w:rFonts w:eastAsia="Lato"/>
        </w:rPr>
        <w:t>for</w:t>
      </w:r>
      <w:r w:rsidRPr="00236ADE">
        <w:rPr>
          <w:rFonts w:eastAsia="Lato"/>
        </w:rPr>
        <w:t xml:space="preserve"> Equality, </w:t>
      </w:r>
      <w:proofErr w:type="gramStart"/>
      <w:r w:rsidRPr="00236ADE">
        <w:rPr>
          <w:rFonts w:eastAsia="Lato"/>
        </w:rPr>
        <w:t>Diversity</w:t>
      </w:r>
      <w:proofErr w:type="gramEnd"/>
      <w:r w:rsidRPr="00236ADE">
        <w:rPr>
          <w:rFonts w:eastAsia="Lato"/>
        </w:rPr>
        <w:t xml:space="preserve"> and Inclusion. James Sheppard is an Ass</w:t>
      </w:r>
      <w:r w:rsidR="00CD4981" w:rsidRPr="00236ADE">
        <w:rPr>
          <w:rFonts w:eastAsia="Lato"/>
        </w:rPr>
        <w:t>ociate</w:t>
      </w:r>
      <w:r w:rsidR="007515DE" w:rsidRPr="00236ADE">
        <w:rPr>
          <w:rFonts w:eastAsia="Lato"/>
        </w:rPr>
        <w:t xml:space="preserve"> Professor</w:t>
      </w:r>
      <w:r w:rsidR="006C5C63" w:rsidRPr="00236ADE">
        <w:rPr>
          <w:rFonts w:eastAsia="Lato"/>
        </w:rPr>
        <w:t xml:space="preserve"> at Oxford and deputy lead for their Athena Swan initiative which recently </w:t>
      </w:r>
      <w:r w:rsidR="00DD075F" w:rsidRPr="00236ADE">
        <w:rPr>
          <w:rFonts w:eastAsia="Lato"/>
        </w:rPr>
        <w:t>received</w:t>
      </w:r>
      <w:r w:rsidR="006C5C63" w:rsidRPr="00236ADE">
        <w:rPr>
          <w:rFonts w:eastAsia="Lato"/>
        </w:rPr>
        <w:t xml:space="preserve"> </w:t>
      </w:r>
      <w:r w:rsidR="00E4289C" w:rsidRPr="00236ADE">
        <w:rPr>
          <w:rFonts w:eastAsia="Lato"/>
        </w:rPr>
        <w:t xml:space="preserve">a </w:t>
      </w:r>
      <w:proofErr w:type="gramStart"/>
      <w:r w:rsidR="006C5C63" w:rsidRPr="00236ADE">
        <w:rPr>
          <w:rFonts w:eastAsia="Lato"/>
        </w:rPr>
        <w:t>Gold</w:t>
      </w:r>
      <w:proofErr w:type="gramEnd"/>
      <w:r w:rsidR="00E4289C" w:rsidRPr="00236ADE">
        <w:rPr>
          <w:rFonts w:eastAsia="Lato"/>
        </w:rPr>
        <w:t xml:space="preserve"> award</w:t>
      </w:r>
      <w:r w:rsidR="0011117C" w:rsidRPr="00236ADE">
        <w:rPr>
          <w:rFonts w:eastAsia="Lato"/>
        </w:rPr>
        <w:t xml:space="preserve">. </w:t>
      </w:r>
    </w:p>
    <w:p w14:paraId="7B46632E" w14:textId="77777777" w:rsidR="0069748E" w:rsidRPr="00236ADE" w:rsidRDefault="0069748E" w:rsidP="00F66869">
      <w:pPr>
        <w:rPr>
          <w:rFonts w:eastAsia="Lato"/>
        </w:rPr>
      </w:pPr>
    </w:p>
    <w:p w14:paraId="5A56A61A" w14:textId="00F96939" w:rsidR="00F66869" w:rsidRPr="00236ADE" w:rsidRDefault="0011117C" w:rsidP="00F66869">
      <w:pPr>
        <w:rPr>
          <w:rFonts w:eastAsia="Lato"/>
        </w:rPr>
      </w:pPr>
      <w:r w:rsidRPr="00236ADE">
        <w:rPr>
          <w:rFonts w:eastAsia="Lato"/>
        </w:rPr>
        <w:t>The SPCR has ta</w:t>
      </w:r>
      <w:r w:rsidR="002D5B5E" w:rsidRPr="00236ADE">
        <w:rPr>
          <w:rFonts w:eastAsia="Lato"/>
        </w:rPr>
        <w:t xml:space="preserve">ken the following action since </w:t>
      </w:r>
      <w:r w:rsidR="00C0102B" w:rsidRPr="00236ADE">
        <w:rPr>
          <w:rFonts w:eastAsia="Lato"/>
        </w:rPr>
        <w:t>this appointment:</w:t>
      </w:r>
    </w:p>
    <w:p w14:paraId="40498BEE" w14:textId="5820BBD1" w:rsidR="001D3B49" w:rsidRPr="00236ADE" w:rsidRDefault="00C0102B" w:rsidP="001B1067">
      <w:pPr>
        <w:pStyle w:val="ListParagraph"/>
        <w:numPr>
          <w:ilvl w:val="0"/>
          <w:numId w:val="12"/>
        </w:numPr>
        <w:rPr>
          <w:rFonts w:eastAsia="Lato"/>
        </w:rPr>
      </w:pPr>
      <w:r w:rsidRPr="00236ADE">
        <w:rPr>
          <w:rFonts w:eastAsia="Lato"/>
        </w:rPr>
        <w:t xml:space="preserve">Undertaking </w:t>
      </w:r>
      <w:r w:rsidR="006B74F7" w:rsidRPr="00236ADE">
        <w:rPr>
          <w:rFonts w:eastAsia="Lato"/>
        </w:rPr>
        <w:t>an anonymous</w:t>
      </w:r>
      <w:r w:rsidR="005C5EF0" w:rsidRPr="00236ADE">
        <w:rPr>
          <w:rFonts w:eastAsia="Lato"/>
        </w:rPr>
        <w:t xml:space="preserve"> data capture</w:t>
      </w:r>
      <w:r w:rsidR="00666F5F" w:rsidRPr="00236ADE">
        <w:rPr>
          <w:rFonts w:eastAsia="Lato"/>
        </w:rPr>
        <w:t xml:space="preserve"> of our current award holders</w:t>
      </w:r>
      <w:r w:rsidR="007A287C" w:rsidRPr="00236ADE">
        <w:rPr>
          <w:rFonts w:eastAsia="Lato"/>
        </w:rPr>
        <w:t xml:space="preserve"> as part of our work to embed the NIHR Research Inclusion Strategy into our practice</w:t>
      </w:r>
    </w:p>
    <w:p w14:paraId="7F664BF5" w14:textId="44F5C94C" w:rsidR="00460447" w:rsidRPr="00236ADE" w:rsidRDefault="00460447" w:rsidP="001B1067">
      <w:pPr>
        <w:pStyle w:val="ListParagraph"/>
        <w:numPr>
          <w:ilvl w:val="0"/>
          <w:numId w:val="12"/>
        </w:numPr>
        <w:rPr>
          <w:rFonts w:eastAsia="Lato"/>
        </w:rPr>
      </w:pPr>
      <w:r w:rsidRPr="00236ADE">
        <w:rPr>
          <w:rFonts w:eastAsia="Lato"/>
        </w:rPr>
        <w:t>Inviting</w:t>
      </w:r>
      <w:r w:rsidR="00592B10" w:rsidRPr="00236ADE">
        <w:rPr>
          <w:rFonts w:eastAsia="Lato"/>
        </w:rPr>
        <w:t xml:space="preserve"> a member of</w:t>
      </w:r>
      <w:r w:rsidR="003410F7" w:rsidRPr="00236ADE">
        <w:rPr>
          <w:rFonts w:eastAsia="Lato"/>
        </w:rPr>
        <w:t xml:space="preserve"> the NIHR </w:t>
      </w:r>
      <w:r w:rsidR="00592B10" w:rsidRPr="00236ADE">
        <w:rPr>
          <w:rFonts w:eastAsia="Lato"/>
        </w:rPr>
        <w:t xml:space="preserve">Research Inclusion </w:t>
      </w:r>
      <w:r w:rsidR="003410F7" w:rsidRPr="00236ADE">
        <w:rPr>
          <w:rFonts w:eastAsia="Lato"/>
        </w:rPr>
        <w:t>team to present at</w:t>
      </w:r>
      <w:r w:rsidR="00592B10" w:rsidRPr="00236ADE">
        <w:rPr>
          <w:rFonts w:eastAsia="Lato"/>
        </w:rPr>
        <w:t xml:space="preserve"> our</w:t>
      </w:r>
      <w:r w:rsidR="003410F7" w:rsidRPr="00236ADE">
        <w:rPr>
          <w:rFonts w:eastAsia="Lato"/>
        </w:rPr>
        <w:t xml:space="preserve"> annual trainee event in September</w:t>
      </w:r>
      <w:r w:rsidR="00592B10" w:rsidRPr="00236ADE">
        <w:rPr>
          <w:rFonts w:eastAsia="Lato"/>
        </w:rPr>
        <w:t xml:space="preserve"> 2022</w:t>
      </w:r>
    </w:p>
    <w:p w14:paraId="28520E5D" w14:textId="51269C28" w:rsidR="008221F9" w:rsidRPr="00236ADE" w:rsidRDefault="007701B1" w:rsidP="001B1067">
      <w:pPr>
        <w:pStyle w:val="ListParagraph"/>
        <w:numPr>
          <w:ilvl w:val="0"/>
          <w:numId w:val="12"/>
        </w:numPr>
        <w:rPr>
          <w:rFonts w:eastAsia="Lato"/>
        </w:rPr>
      </w:pPr>
      <w:r w:rsidRPr="00236ADE">
        <w:rPr>
          <w:rFonts w:eastAsia="Lato"/>
        </w:rPr>
        <w:t>Strengthening</w:t>
      </w:r>
      <w:r w:rsidR="008729EC" w:rsidRPr="00236ADE">
        <w:rPr>
          <w:rFonts w:eastAsia="Lato"/>
        </w:rPr>
        <w:t xml:space="preserve"> </w:t>
      </w:r>
      <w:r w:rsidRPr="00236ADE">
        <w:rPr>
          <w:rFonts w:eastAsia="Lato"/>
        </w:rPr>
        <w:t xml:space="preserve">relevant questions on SPCR </w:t>
      </w:r>
      <w:r w:rsidR="004D685C" w:rsidRPr="00236ADE">
        <w:rPr>
          <w:rFonts w:eastAsia="Lato"/>
        </w:rPr>
        <w:t xml:space="preserve">funding </w:t>
      </w:r>
      <w:r w:rsidRPr="00236ADE">
        <w:rPr>
          <w:rFonts w:eastAsia="Lato"/>
        </w:rPr>
        <w:t>application form</w:t>
      </w:r>
      <w:r w:rsidR="004D685C" w:rsidRPr="00236ADE">
        <w:rPr>
          <w:rFonts w:eastAsia="Lato"/>
        </w:rPr>
        <w:t xml:space="preserve">s </w:t>
      </w:r>
    </w:p>
    <w:p w14:paraId="110D9D97" w14:textId="0A3AFA1E" w:rsidR="004D685C" w:rsidRPr="00236ADE" w:rsidRDefault="00574553" w:rsidP="001B1067">
      <w:pPr>
        <w:pStyle w:val="ListParagraph"/>
        <w:numPr>
          <w:ilvl w:val="0"/>
          <w:numId w:val="12"/>
        </w:numPr>
        <w:rPr>
          <w:rFonts w:eastAsia="Lato"/>
        </w:rPr>
      </w:pPr>
      <w:r w:rsidRPr="00236ADE">
        <w:rPr>
          <w:rFonts w:eastAsia="Lato"/>
        </w:rPr>
        <w:t>Running a pre-application workshop on embedding EDI in research applications</w:t>
      </w:r>
      <w:r w:rsidR="007C5AA5" w:rsidRPr="00236ADE">
        <w:rPr>
          <w:rFonts w:eastAsia="Lato"/>
        </w:rPr>
        <w:t xml:space="preserve"> for upcoming funding rounds</w:t>
      </w:r>
    </w:p>
    <w:p w14:paraId="2E1CB216" w14:textId="3D33E8E1" w:rsidR="007C5AA5" w:rsidRPr="00236ADE" w:rsidRDefault="00813970" w:rsidP="001B1067">
      <w:pPr>
        <w:pStyle w:val="ListParagraph"/>
        <w:numPr>
          <w:ilvl w:val="0"/>
          <w:numId w:val="12"/>
        </w:numPr>
        <w:rPr>
          <w:rFonts w:eastAsia="Lato"/>
        </w:rPr>
      </w:pPr>
      <w:r w:rsidRPr="00236ADE">
        <w:rPr>
          <w:rFonts w:eastAsia="Lato"/>
        </w:rPr>
        <w:t>Development of a mandatory</w:t>
      </w:r>
      <w:r w:rsidR="00A4587C" w:rsidRPr="00236ADE">
        <w:rPr>
          <w:rFonts w:eastAsia="Lato"/>
        </w:rPr>
        <w:t xml:space="preserve"> workshop for successful applicants to identify areas for improvement</w:t>
      </w:r>
      <w:r w:rsidR="0084060C" w:rsidRPr="00236ADE">
        <w:rPr>
          <w:rFonts w:eastAsia="Lato"/>
        </w:rPr>
        <w:t xml:space="preserve"> prior to the outset of SPCR projects</w:t>
      </w:r>
    </w:p>
    <w:p w14:paraId="637B98DB" w14:textId="77777777" w:rsidR="009D6800" w:rsidRPr="00236ADE" w:rsidRDefault="009D6800" w:rsidP="009D6800">
      <w:pPr>
        <w:rPr>
          <w:rFonts w:eastAsia="Lato"/>
        </w:rPr>
      </w:pPr>
    </w:p>
    <w:p w14:paraId="679A6BA8" w14:textId="53248B41" w:rsidR="002A0783" w:rsidRPr="00236ADE" w:rsidRDefault="009D6800" w:rsidP="009D6800">
      <w:pPr>
        <w:rPr>
          <w:rFonts w:eastAsia="Lato"/>
        </w:rPr>
      </w:pPr>
      <w:r w:rsidRPr="00236ADE">
        <w:rPr>
          <w:rFonts w:eastAsia="Lato"/>
        </w:rPr>
        <w:t>In addition, t</w:t>
      </w:r>
      <w:r w:rsidR="00874169" w:rsidRPr="00236ADE">
        <w:rPr>
          <w:rFonts w:eastAsia="Lato"/>
        </w:rPr>
        <w:t xml:space="preserve">he SPCR is currently </w:t>
      </w:r>
      <w:r w:rsidR="006F3E26" w:rsidRPr="00236ADE">
        <w:rPr>
          <w:rFonts w:eastAsia="Lato"/>
        </w:rPr>
        <w:t xml:space="preserve">seeking to appoint an independent </w:t>
      </w:r>
      <w:r w:rsidR="004B2355" w:rsidRPr="00236ADE">
        <w:rPr>
          <w:rFonts w:eastAsia="Lato"/>
        </w:rPr>
        <w:t xml:space="preserve">EDI </w:t>
      </w:r>
      <w:r w:rsidR="006F3E26" w:rsidRPr="00236ADE">
        <w:rPr>
          <w:rFonts w:eastAsia="Lato"/>
        </w:rPr>
        <w:t>consultant to audit its processes</w:t>
      </w:r>
      <w:r w:rsidR="00D47044" w:rsidRPr="00236ADE">
        <w:rPr>
          <w:rFonts w:eastAsia="Lato"/>
        </w:rPr>
        <w:t xml:space="preserve"> and where appropriate provide high level training to the SPCR board.</w:t>
      </w:r>
    </w:p>
    <w:p w14:paraId="10D65C42" w14:textId="77777777" w:rsidR="0084060C" w:rsidRPr="00236ADE" w:rsidRDefault="0084060C" w:rsidP="0084060C">
      <w:pPr>
        <w:rPr>
          <w:rFonts w:eastAsia="Lato"/>
        </w:rPr>
      </w:pPr>
    </w:p>
    <w:p w14:paraId="337B46CF" w14:textId="77777777" w:rsidR="00EC1879" w:rsidRPr="00236ADE" w:rsidRDefault="00E52D1F">
      <w:pPr>
        <w:rPr>
          <w:rFonts w:eastAsia="Lato"/>
          <w:color w:val="7F7F7F" w:themeColor="text1" w:themeTint="80"/>
        </w:rPr>
      </w:pPr>
      <w:r w:rsidRPr="00236ADE">
        <w:rPr>
          <w:rFonts w:eastAsia="Lato"/>
          <w:color w:val="7F7F7F" w:themeColor="text1" w:themeTint="80"/>
        </w:rPr>
        <w:t>Patient and Public Involvement and Engagement (PPIE)</w:t>
      </w:r>
    </w:p>
    <w:p w14:paraId="73DA3A25" w14:textId="77777777" w:rsidR="00EC1879" w:rsidRPr="00236ADE" w:rsidRDefault="00EC1879">
      <w:pPr>
        <w:rPr>
          <w:rFonts w:eastAsia="Lato"/>
        </w:rPr>
      </w:pPr>
    </w:p>
    <w:p w14:paraId="2371DA21" w14:textId="0739C4B3" w:rsidR="00DC233B" w:rsidRPr="00236ADE" w:rsidRDefault="00D20758" w:rsidP="7CF22973">
      <w:pPr>
        <w:rPr>
          <w:rFonts w:eastAsia="Lato"/>
        </w:rPr>
      </w:pPr>
      <w:r w:rsidRPr="00236ADE">
        <w:rPr>
          <w:rFonts w:eastAsia="Lato"/>
        </w:rPr>
        <w:t xml:space="preserve">This year, the SPCR board has appointed a new member as Academic Lead for Patient and Public Involvement and Engagement. </w:t>
      </w:r>
      <w:r w:rsidR="00C47991" w:rsidRPr="00236ADE">
        <w:rPr>
          <w:rFonts w:eastAsia="Lato"/>
        </w:rPr>
        <w:t>Miriam Santer is a Professor of Primary Care Research</w:t>
      </w:r>
      <w:r w:rsidR="00DC233B" w:rsidRPr="00236ADE">
        <w:rPr>
          <w:rFonts w:eastAsia="Lato"/>
        </w:rPr>
        <w:t xml:space="preserve"> at Southampton</w:t>
      </w:r>
      <w:r w:rsidR="00973466" w:rsidRPr="00236ADE">
        <w:rPr>
          <w:rFonts w:eastAsia="Lato"/>
        </w:rPr>
        <w:t xml:space="preserve">. </w:t>
      </w:r>
      <w:r w:rsidR="005B3111" w:rsidRPr="00236ADE">
        <w:rPr>
          <w:rFonts w:eastAsia="Lato"/>
        </w:rPr>
        <w:t>This appointment has embedded a voice for PPIE within our strategic governance</w:t>
      </w:r>
      <w:r w:rsidR="008F5903">
        <w:rPr>
          <w:rFonts w:eastAsia="Lato"/>
        </w:rPr>
        <w:t>.</w:t>
      </w:r>
    </w:p>
    <w:p w14:paraId="19F3C408" w14:textId="77777777" w:rsidR="00DC233B" w:rsidRPr="00236ADE" w:rsidRDefault="00DC233B" w:rsidP="7CF22973">
      <w:pPr>
        <w:rPr>
          <w:rFonts w:eastAsia="Lato"/>
        </w:rPr>
      </w:pPr>
    </w:p>
    <w:p w14:paraId="7FC69FF3" w14:textId="6B019D4A" w:rsidR="0A0D4D1B" w:rsidRDefault="00103D57" w:rsidP="7CF22973">
      <w:pPr>
        <w:rPr>
          <w:rFonts w:eastAsia="Lato"/>
        </w:rPr>
      </w:pPr>
      <w:r w:rsidRPr="00236ADE">
        <w:rPr>
          <w:rFonts w:eastAsia="Lato"/>
        </w:rPr>
        <w:t>The SPCR embeds PPIE into</w:t>
      </w:r>
      <w:r w:rsidR="00140599" w:rsidRPr="00236ADE">
        <w:rPr>
          <w:rFonts w:eastAsia="Lato"/>
        </w:rPr>
        <w:t xml:space="preserve"> its work according to our 6 strategic aims:</w:t>
      </w:r>
    </w:p>
    <w:p w14:paraId="0FBBB200" w14:textId="77777777" w:rsidR="003D11E5" w:rsidRPr="00236ADE" w:rsidRDefault="003D11E5" w:rsidP="7CF22973">
      <w:pPr>
        <w:rPr>
          <w:rFonts w:eastAsia="Lato"/>
        </w:rPr>
      </w:pPr>
    </w:p>
    <w:p w14:paraId="2599D3BC" w14:textId="77777777" w:rsidR="003D11E5" w:rsidRDefault="004A61A7" w:rsidP="004A61A7">
      <w:pPr>
        <w:rPr>
          <w:rFonts w:eastAsia="Lato"/>
          <w:i/>
          <w:iCs/>
        </w:rPr>
      </w:pPr>
      <w:r w:rsidRPr="00236ADE">
        <w:rPr>
          <w:rFonts w:eastAsia="Lato"/>
          <w:i/>
          <w:iCs/>
        </w:rPr>
        <w:t xml:space="preserve">Ensure our research community incorporates patient and public involvement and engagement throughout </w:t>
      </w:r>
      <w:proofErr w:type="gramStart"/>
      <w:r w:rsidRPr="00236ADE">
        <w:rPr>
          <w:rFonts w:eastAsia="Lato"/>
          <w:i/>
          <w:iCs/>
        </w:rPr>
        <w:t>research</w:t>
      </w:r>
      <w:proofErr w:type="gramEnd"/>
      <w:r w:rsidRPr="00236ADE">
        <w:rPr>
          <w:rFonts w:eastAsia="Lato"/>
          <w:i/>
          <w:iCs/>
        </w:rPr>
        <w:cr/>
      </w:r>
    </w:p>
    <w:p w14:paraId="5011E0C9" w14:textId="17C6182A" w:rsidR="009F2213" w:rsidRPr="00236ADE" w:rsidRDefault="004A61A7" w:rsidP="004A61A7">
      <w:pPr>
        <w:rPr>
          <w:rFonts w:eastAsia="Lato"/>
        </w:rPr>
      </w:pPr>
      <w:r w:rsidRPr="00236ADE">
        <w:rPr>
          <w:rFonts w:eastAsia="Lato"/>
        </w:rPr>
        <w:t>The SPCR provides an annual PPI budget to our membership in order that they</w:t>
      </w:r>
      <w:r w:rsidR="00B3326F" w:rsidRPr="00236ADE">
        <w:rPr>
          <w:rFonts w:eastAsia="Lato"/>
        </w:rPr>
        <w:t xml:space="preserve"> can ensure PPI is incorporated into</w:t>
      </w:r>
      <w:r w:rsidR="009F2213" w:rsidRPr="00236ADE">
        <w:rPr>
          <w:rFonts w:eastAsia="Lato"/>
        </w:rPr>
        <w:t xml:space="preserve"> research going on in their departments</w:t>
      </w:r>
      <w:r w:rsidR="00B3326F" w:rsidRPr="00236ADE">
        <w:rPr>
          <w:rFonts w:eastAsia="Lato"/>
        </w:rPr>
        <w:t>.</w:t>
      </w:r>
      <w:r w:rsidR="00A13030" w:rsidRPr="00236ADE">
        <w:rPr>
          <w:rFonts w:eastAsia="Lato"/>
        </w:rPr>
        <w:t xml:space="preserve"> Each member provides a report into the use of these funds</w:t>
      </w:r>
      <w:r w:rsidR="005A41F4" w:rsidRPr="00236ADE">
        <w:rPr>
          <w:rFonts w:eastAsia="Lato"/>
        </w:rPr>
        <w:t>, reported usage includes:</w:t>
      </w:r>
      <w:r w:rsidR="00A13030" w:rsidRPr="00236ADE">
        <w:rPr>
          <w:rFonts w:eastAsia="Lato"/>
        </w:rPr>
        <w:t xml:space="preserve"> </w:t>
      </w:r>
    </w:p>
    <w:p w14:paraId="5C28D79A" w14:textId="7CBBEA21" w:rsidR="00140599" w:rsidRPr="00236ADE" w:rsidRDefault="009F2213" w:rsidP="005A41F4">
      <w:pPr>
        <w:pStyle w:val="ListParagraph"/>
        <w:numPr>
          <w:ilvl w:val="0"/>
          <w:numId w:val="14"/>
        </w:numPr>
        <w:rPr>
          <w:rFonts w:eastAsia="Lato"/>
        </w:rPr>
      </w:pPr>
      <w:r w:rsidRPr="00236ADE">
        <w:rPr>
          <w:rFonts w:eastAsia="Lato"/>
        </w:rPr>
        <w:t>PPI input into grant applications and PhD projects, through local enablement funds</w:t>
      </w:r>
    </w:p>
    <w:p w14:paraId="71892C44" w14:textId="62BED4BD" w:rsidR="00BF22AF" w:rsidRPr="00236ADE" w:rsidRDefault="00BF22AF" w:rsidP="005A41F4">
      <w:pPr>
        <w:pStyle w:val="ListParagraph"/>
        <w:numPr>
          <w:ilvl w:val="0"/>
          <w:numId w:val="14"/>
        </w:numPr>
        <w:rPr>
          <w:rFonts w:eastAsia="Lato"/>
        </w:rPr>
      </w:pPr>
      <w:r w:rsidRPr="00236ADE">
        <w:rPr>
          <w:rFonts w:eastAsia="Lato"/>
        </w:rPr>
        <w:t>Provision of PPIE training workshops to be run for researchers and public collaborators</w:t>
      </w:r>
    </w:p>
    <w:p w14:paraId="37B17AB6" w14:textId="413A05D0" w:rsidR="004C2593" w:rsidRPr="00236ADE" w:rsidRDefault="004C2593" w:rsidP="005A41F4">
      <w:pPr>
        <w:pStyle w:val="ListParagraph"/>
        <w:numPr>
          <w:ilvl w:val="0"/>
          <w:numId w:val="14"/>
        </w:numPr>
        <w:rPr>
          <w:rFonts w:eastAsia="Lato"/>
        </w:rPr>
      </w:pPr>
      <w:r w:rsidRPr="00236ADE">
        <w:rPr>
          <w:rFonts w:eastAsia="Lato"/>
        </w:rPr>
        <w:t>PPI members to attend workshops for potential applicants to SPCR funding rounds</w:t>
      </w:r>
    </w:p>
    <w:p w14:paraId="48ACCF62" w14:textId="4EFA34A8" w:rsidR="004C2593" w:rsidRPr="00236ADE" w:rsidRDefault="004C2593" w:rsidP="005A41F4">
      <w:pPr>
        <w:pStyle w:val="ListParagraph"/>
        <w:numPr>
          <w:ilvl w:val="0"/>
          <w:numId w:val="14"/>
        </w:numPr>
        <w:rPr>
          <w:rFonts w:eastAsia="Lato"/>
        </w:rPr>
      </w:pPr>
      <w:r w:rsidRPr="00236ADE">
        <w:rPr>
          <w:rFonts w:eastAsia="Lato"/>
        </w:rPr>
        <w:t>Payment for involvement in local PPIE advisory groups</w:t>
      </w:r>
      <w:r w:rsidR="001618BC" w:rsidRPr="00236ADE">
        <w:rPr>
          <w:rFonts w:eastAsia="Lato"/>
        </w:rPr>
        <w:t xml:space="preserve"> who input into departmental strategy</w:t>
      </w:r>
    </w:p>
    <w:p w14:paraId="6F5CA703" w14:textId="77777777" w:rsidR="00A13030" w:rsidRPr="00236ADE" w:rsidRDefault="00A13030" w:rsidP="004A61A7">
      <w:pPr>
        <w:rPr>
          <w:rFonts w:eastAsia="Lato"/>
        </w:rPr>
      </w:pPr>
    </w:p>
    <w:p w14:paraId="47AD9A4B" w14:textId="0A9A795F" w:rsidR="004A61A7" w:rsidRDefault="00A929B4" w:rsidP="7CF22973">
      <w:pPr>
        <w:rPr>
          <w:rFonts w:eastAsia="Lato"/>
          <w:i/>
          <w:iCs/>
        </w:rPr>
      </w:pPr>
      <w:r w:rsidRPr="00236ADE">
        <w:rPr>
          <w:rFonts w:eastAsia="Lato"/>
          <w:i/>
          <w:iCs/>
        </w:rPr>
        <w:t xml:space="preserve">Incorporate relevant involvement throughout our funding </w:t>
      </w:r>
      <w:proofErr w:type="gramStart"/>
      <w:r w:rsidRPr="00236ADE">
        <w:rPr>
          <w:rFonts w:eastAsia="Lato"/>
          <w:i/>
          <w:iCs/>
        </w:rPr>
        <w:t>processes</w:t>
      </w:r>
      <w:proofErr w:type="gramEnd"/>
    </w:p>
    <w:p w14:paraId="00E6FE90" w14:textId="77777777" w:rsidR="003D11E5" w:rsidRPr="00236ADE" w:rsidRDefault="003D11E5" w:rsidP="7CF22973">
      <w:pPr>
        <w:rPr>
          <w:rFonts w:eastAsia="Lato"/>
          <w:i/>
          <w:iCs/>
        </w:rPr>
      </w:pPr>
    </w:p>
    <w:p w14:paraId="4E2DE94F" w14:textId="527A56F7" w:rsidR="0034189F" w:rsidRPr="00236ADE" w:rsidRDefault="006B4FA3" w:rsidP="7CF22973">
      <w:pPr>
        <w:rPr>
          <w:rFonts w:eastAsia="Lato"/>
        </w:rPr>
      </w:pPr>
      <w:r w:rsidRPr="00236ADE">
        <w:rPr>
          <w:rFonts w:eastAsia="Lato"/>
        </w:rPr>
        <w:t xml:space="preserve">We ensure PPI involvement in </w:t>
      </w:r>
      <w:proofErr w:type="gramStart"/>
      <w:r w:rsidRPr="00236ADE">
        <w:rPr>
          <w:rFonts w:eastAsia="Lato"/>
        </w:rPr>
        <w:t>all of</w:t>
      </w:r>
      <w:proofErr w:type="gramEnd"/>
      <w:r w:rsidRPr="00236ADE">
        <w:rPr>
          <w:rFonts w:eastAsia="Lato"/>
        </w:rPr>
        <w:t xml:space="preserve"> our funding decisions, using a </w:t>
      </w:r>
      <w:r w:rsidR="005E72B4" w:rsidRPr="00236ADE">
        <w:rPr>
          <w:rFonts w:eastAsia="Lato"/>
        </w:rPr>
        <w:t xml:space="preserve">diverse </w:t>
      </w:r>
      <w:r w:rsidRPr="00236ADE">
        <w:rPr>
          <w:rFonts w:eastAsia="Lato"/>
        </w:rPr>
        <w:t>group of</w:t>
      </w:r>
      <w:r w:rsidR="005E72B4" w:rsidRPr="00236ADE">
        <w:rPr>
          <w:rFonts w:eastAsia="Lato"/>
        </w:rPr>
        <w:t xml:space="preserve"> public contributors. </w:t>
      </w:r>
      <w:r w:rsidR="007B312E" w:rsidRPr="00236ADE">
        <w:rPr>
          <w:rFonts w:eastAsia="Lato"/>
        </w:rPr>
        <w:t>Our PPI fun</w:t>
      </w:r>
      <w:r w:rsidR="003674B7" w:rsidRPr="00236ADE">
        <w:rPr>
          <w:rFonts w:eastAsia="Lato"/>
        </w:rPr>
        <w:t xml:space="preserve">ding group continue to be involved in </w:t>
      </w:r>
      <w:r w:rsidR="00C378B8" w:rsidRPr="00236ADE">
        <w:rPr>
          <w:rFonts w:eastAsia="Lato"/>
        </w:rPr>
        <w:t>our competitive funding process</w:t>
      </w:r>
      <w:r w:rsidR="00967921" w:rsidRPr="00236ADE">
        <w:rPr>
          <w:rFonts w:eastAsia="Lato"/>
        </w:rPr>
        <w:t>,</w:t>
      </w:r>
      <w:r w:rsidR="00BD1FF6" w:rsidRPr="00236ADE">
        <w:rPr>
          <w:rFonts w:eastAsia="Lato"/>
        </w:rPr>
        <w:t xml:space="preserve"> </w:t>
      </w:r>
      <w:r w:rsidR="00967921" w:rsidRPr="00236ADE">
        <w:rPr>
          <w:rFonts w:eastAsia="Lato"/>
        </w:rPr>
        <w:t>review scores from public contributors are</w:t>
      </w:r>
      <w:r w:rsidR="00BD1FF6" w:rsidRPr="00236ADE">
        <w:rPr>
          <w:rFonts w:eastAsia="Lato"/>
        </w:rPr>
        <w:t xml:space="preserve"> given an equal weighting to academic review scores at</w:t>
      </w:r>
      <w:r w:rsidR="00967921" w:rsidRPr="00236ADE">
        <w:rPr>
          <w:rFonts w:eastAsia="Lato"/>
        </w:rPr>
        <w:t xml:space="preserve"> these</w:t>
      </w:r>
      <w:r w:rsidR="00BD1FF6" w:rsidRPr="00236ADE">
        <w:rPr>
          <w:rFonts w:eastAsia="Lato"/>
        </w:rPr>
        <w:t xml:space="preserve"> funding panel</w:t>
      </w:r>
      <w:r w:rsidR="00967921" w:rsidRPr="00236ADE">
        <w:rPr>
          <w:rFonts w:eastAsia="Lato"/>
        </w:rPr>
        <w:t>s</w:t>
      </w:r>
      <w:r w:rsidR="00A13030" w:rsidRPr="00236ADE">
        <w:rPr>
          <w:rFonts w:eastAsia="Lato"/>
        </w:rPr>
        <w:t xml:space="preserve">. </w:t>
      </w:r>
      <w:r w:rsidR="005E72B4" w:rsidRPr="00236ADE">
        <w:rPr>
          <w:rFonts w:eastAsia="Lato"/>
        </w:rPr>
        <w:t>Local SPCR funding decisions</w:t>
      </w:r>
      <w:r w:rsidR="00F618D0" w:rsidRPr="00236ADE">
        <w:rPr>
          <w:rFonts w:eastAsia="Lato"/>
        </w:rPr>
        <w:t xml:space="preserve"> include public contributor review and panel representation funded by their PPI budget as above</w:t>
      </w:r>
    </w:p>
    <w:p w14:paraId="21517970" w14:textId="77777777" w:rsidR="00F618D0" w:rsidRPr="00236ADE" w:rsidRDefault="00F618D0" w:rsidP="7CF22973">
      <w:pPr>
        <w:rPr>
          <w:rFonts w:eastAsia="Lato"/>
        </w:rPr>
      </w:pPr>
    </w:p>
    <w:p w14:paraId="6C24E26D" w14:textId="2FB199EA" w:rsidR="00F618D0" w:rsidRDefault="00F618D0" w:rsidP="7CF22973">
      <w:pPr>
        <w:rPr>
          <w:rFonts w:eastAsia="Lato"/>
          <w:i/>
          <w:iCs/>
        </w:rPr>
      </w:pPr>
      <w:r w:rsidRPr="00236ADE">
        <w:rPr>
          <w:rFonts w:eastAsia="Lato"/>
          <w:i/>
          <w:iCs/>
        </w:rPr>
        <w:t>Lead by example in our involvement and engagement practice</w:t>
      </w:r>
    </w:p>
    <w:p w14:paraId="0B2E0D79" w14:textId="77777777" w:rsidR="003D11E5" w:rsidRPr="00236ADE" w:rsidRDefault="003D11E5" w:rsidP="7CF22973">
      <w:pPr>
        <w:rPr>
          <w:rFonts w:eastAsia="Lato"/>
          <w:i/>
          <w:iCs/>
        </w:rPr>
      </w:pPr>
    </w:p>
    <w:p w14:paraId="0A7A207A" w14:textId="77C9D125" w:rsidR="00F618D0" w:rsidRPr="00236ADE" w:rsidRDefault="005E143A" w:rsidP="00A31D37">
      <w:pPr>
        <w:rPr>
          <w:rFonts w:eastAsia="Lato"/>
        </w:rPr>
      </w:pPr>
      <w:r w:rsidRPr="00236ADE">
        <w:rPr>
          <w:rFonts w:eastAsia="Lato"/>
        </w:rPr>
        <w:t xml:space="preserve">We continue to </w:t>
      </w:r>
      <w:r w:rsidR="00206A48" w:rsidRPr="00236ADE">
        <w:rPr>
          <w:rFonts w:eastAsia="Lato"/>
        </w:rPr>
        <w:t xml:space="preserve">engage with our SPCR PPI funding group </w:t>
      </w:r>
      <w:r w:rsidR="00AD136F" w:rsidRPr="00236ADE">
        <w:rPr>
          <w:rFonts w:eastAsia="Lato"/>
        </w:rPr>
        <w:t xml:space="preserve">for all </w:t>
      </w:r>
      <w:r w:rsidR="00C43B59" w:rsidRPr="00236ADE">
        <w:rPr>
          <w:rFonts w:eastAsia="Lato"/>
        </w:rPr>
        <w:t xml:space="preserve">decisions made at our competitive funding rounds. Our wider group, and specific PPI funding panel meetings, enables </w:t>
      </w:r>
      <w:r w:rsidR="00A31D37" w:rsidRPr="00236ADE">
        <w:rPr>
          <w:rFonts w:eastAsia="Lato"/>
        </w:rPr>
        <w:t>a supportive environment for people who have previously felt uncomfortable in board settings to still influence decision making as well as allowing more public contributors to give feedback and be involved in SPCR funding decisions</w:t>
      </w:r>
      <w:r w:rsidR="000437E0" w:rsidRPr="00236ADE">
        <w:rPr>
          <w:rFonts w:eastAsia="Lato"/>
        </w:rPr>
        <w:t>.</w:t>
      </w:r>
      <w:r w:rsidR="00A31D37" w:rsidRPr="00236ADE">
        <w:rPr>
          <w:rFonts w:eastAsia="Lato"/>
        </w:rPr>
        <w:t xml:space="preserve"> PPI feedback during the funding panel meeting </w:t>
      </w:r>
      <w:r w:rsidR="000437E0" w:rsidRPr="00236ADE">
        <w:rPr>
          <w:rFonts w:eastAsia="Lato"/>
        </w:rPr>
        <w:t>is</w:t>
      </w:r>
      <w:r w:rsidR="00A31D37" w:rsidRPr="00236ADE">
        <w:rPr>
          <w:rFonts w:eastAsia="Lato"/>
        </w:rPr>
        <w:t xml:space="preserve"> based on a group consensus, rather than a single opinion </w:t>
      </w:r>
      <w:r w:rsidR="00206A48" w:rsidRPr="00236ADE">
        <w:rPr>
          <w:rFonts w:eastAsia="Lato"/>
        </w:rPr>
        <w:t xml:space="preserve"> </w:t>
      </w:r>
    </w:p>
    <w:p w14:paraId="0F212E16" w14:textId="77777777" w:rsidR="00967921" w:rsidRPr="00236ADE" w:rsidRDefault="00967921" w:rsidP="7CF22973">
      <w:pPr>
        <w:rPr>
          <w:rFonts w:eastAsia="Lato"/>
        </w:rPr>
      </w:pPr>
    </w:p>
    <w:p w14:paraId="762EC92A" w14:textId="1D107F40" w:rsidR="00557E11" w:rsidRDefault="00557E11" w:rsidP="7CF22973">
      <w:pPr>
        <w:rPr>
          <w:rFonts w:eastAsia="Lato"/>
          <w:i/>
          <w:iCs/>
        </w:rPr>
      </w:pPr>
      <w:r w:rsidRPr="00236ADE">
        <w:rPr>
          <w:rFonts w:eastAsia="Lato"/>
          <w:i/>
          <w:iCs/>
        </w:rPr>
        <w:t xml:space="preserve">Strengthen involvement and engagement practice of SPCR </w:t>
      </w:r>
      <w:proofErr w:type="gramStart"/>
      <w:r w:rsidRPr="00236ADE">
        <w:rPr>
          <w:rFonts w:eastAsia="Lato"/>
          <w:i/>
          <w:iCs/>
        </w:rPr>
        <w:t>members</w:t>
      </w:r>
      <w:proofErr w:type="gramEnd"/>
    </w:p>
    <w:p w14:paraId="4E70F707" w14:textId="77777777" w:rsidR="003D11E5" w:rsidRPr="00236ADE" w:rsidRDefault="003D11E5" w:rsidP="7CF22973">
      <w:pPr>
        <w:rPr>
          <w:rFonts w:eastAsia="Lato"/>
          <w:i/>
          <w:iCs/>
        </w:rPr>
      </w:pPr>
    </w:p>
    <w:p w14:paraId="609E8023" w14:textId="71C56D83" w:rsidR="002C604E" w:rsidRPr="00236ADE" w:rsidRDefault="002C604E" w:rsidP="00F239D6">
      <w:pPr>
        <w:rPr>
          <w:rFonts w:eastAsia="Lato"/>
        </w:rPr>
      </w:pPr>
      <w:r w:rsidRPr="00236ADE">
        <w:rPr>
          <w:rFonts w:eastAsia="Lato"/>
        </w:rPr>
        <w:t>The SPCR has a strong PPI p</w:t>
      </w:r>
      <w:r w:rsidR="00977C03" w:rsidRPr="00236ADE">
        <w:rPr>
          <w:rFonts w:eastAsia="Lato"/>
        </w:rPr>
        <w:t xml:space="preserve">eer support network </w:t>
      </w:r>
      <w:r w:rsidRPr="00236ADE">
        <w:rPr>
          <w:rFonts w:eastAsia="Lato"/>
        </w:rPr>
        <w:t>with bi-monthly meetings for all members. We have recently appointed a new</w:t>
      </w:r>
      <w:r w:rsidR="00977C03" w:rsidRPr="00236ADE">
        <w:rPr>
          <w:rFonts w:eastAsia="Lato"/>
        </w:rPr>
        <w:t xml:space="preserve"> PPI manager </w:t>
      </w:r>
      <w:r w:rsidR="00E2439E" w:rsidRPr="00236ADE">
        <w:rPr>
          <w:rFonts w:eastAsia="Lato"/>
        </w:rPr>
        <w:t xml:space="preserve">to the directorate. The post will be based </w:t>
      </w:r>
      <w:r w:rsidR="00977C03" w:rsidRPr="00236ADE">
        <w:rPr>
          <w:rFonts w:eastAsia="Lato"/>
        </w:rPr>
        <w:t>at Bristol</w:t>
      </w:r>
      <w:r w:rsidRPr="00236ADE">
        <w:rPr>
          <w:rFonts w:eastAsia="Lato"/>
        </w:rPr>
        <w:t xml:space="preserve"> after hosting </w:t>
      </w:r>
      <w:r w:rsidR="00E2439E" w:rsidRPr="00236ADE">
        <w:rPr>
          <w:rFonts w:eastAsia="Lato"/>
        </w:rPr>
        <w:t>an internal competition last year to</w:t>
      </w:r>
      <w:r w:rsidR="00685DEF" w:rsidRPr="00236ADE">
        <w:rPr>
          <w:rFonts w:eastAsia="Lato"/>
        </w:rPr>
        <w:t xml:space="preserve"> identify a suitable host based on differing PPIE strengths in our departments.</w:t>
      </w:r>
    </w:p>
    <w:p w14:paraId="695D6C90" w14:textId="77777777" w:rsidR="00685DEF" w:rsidRPr="00236ADE" w:rsidRDefault="00685DEF" w:rsidP="00F239D6">
      <w:pPr>
        <w:rPr>
          <w:rFonts w:eastAsia="Lato"/>
        </w:rPr>
      </w:pPr>
    </w:p>
    <w:p w14:paraId="5B34DDDF" w14:textId="67756AE5" w:rsidR="00685DEF" w:rsidRPr="00236ADE" w:rsidRDefault="005D4EC0" w:rsidP="00F239D6">
      <w:pPr>
        <w:rPr>
          <w:rFonts w:eastAsia="Lato"/>
        </w:rPr>
      </w:pPr>
      <w:r w:rsidRPr="00236ADE">
        <w:rPr>
          <w:rFonts w:eastAsia="Lato"/>
        </w:rPr>
        <w:t xml:space="preserve">Working with </w:t>
      </w:r>
      <w:r w:rsidR="00D47FD6" w:rsidRPr="00236ADE">
        <w:rPr>
          <w:rFonts w:eastAsia="Lato"/>
        </w:rPr>
        <w:t xml:space="preserve">members from the central NIHR PPI team, the SPCR put together guidelines for Public Contributor payments for its membership this year to </w:t>
      </w:r>
      <w:r w:rsidR="00EA44CC" w:rsidRPr="00236ADE">
        <w:rPr>
          <w:rFonts w:eastAsia="Lato"/>
        </w:rPr>
        <w:t xml:space="preserve">ensure that </w:t>
      </w:r>
      <w:r w:rsidR="00A302D6" w:rsidRPr="00236ADE">
        <w:rPr>
          <w:rFonts w:eastAsia="Lato"/>
        </w:rPr>
        <w:t xml:space="preserve">opportunities for Public Contributors </w:t>
      </w:r>
      <w:r w:rsidR="000B6E32" w:rsidRPr="00236ADE">
        <w:rPr>
          <w:rFonts w:eastAsia="Lato"/>
        </w:rPr>
        <w:t>are equitable and accessible.</w:t>
      </w:r>
    </w:p>
    <w:p w14:paraId="2A30FE36" w14:textId="77777777" w:rsidR="000B6E32" w:rsidRPr="00236ADE" w:rsidRDefault="000B6E32" w:rsidP="00F239D6">
      <w:pPr>
        <w:rPr>
          <w:rFonts w:eastAsia="Lato"/>
        </w:rPr>
      </w:pPr>
    </w:p>
    <w:p w14:paraId="4E5983CD" w14:textId="1553E0C8" w:rsidR="002C604E" w:rsidRPr="00236ADE" w:rsidRDefault="00236ADE" w:rsidP="002C604E">
      <w:pPr>
        <w:rPr>
          <w:rFonts w:eastAsia="Lato"/>
        </w:rPr>
      </w:pPr>
      <w:r>
        <w:rPr>
          <w:rFonts w:eastAsia="Lato"/>
        </w:rPr>
        <w:t>The SPCR is a m</w:t>
      </w:r>
      <w:r w:rsidR="002C604E" w:rsidRPr="00236ADE">
        <w:rPr>
          <w:rFonts w:eastAsia="Lato"/>
        </w:rPr>
        <w:t>ember of</w:t>
      </w:r>
      <w:r>
        <w:rPr>
          <w:rFonts w:eastAsia="Lato"/>
        </w:rPr>
        <w:t xml:space="preserve"> the</w:t>
      </w:r>
      <w:r w:rsidR="002C604E" w:rsidRPr="00236ADE">
        <w:rPr>
          <w:rFonts w:eastAsia="Lato"/>
        </w:rPr>
        <w:t xml:space="preserve"> PICG Public Involvement Collaboration Group (PICG)</w:t>
      </w:r>
    </w:p>
    <w:p w14:paraId="49A7799D" w14:textId="6ECD2BDB" w:rsidR="00557E11" w:rsidRPr="00236ADE" w:rsidRDefault="00557E11" w:rsidP="7CF22973">
      <w:pPr>
        <w:rPr>
          <w:rFonts w:eastAsia="Lato"/>
          <w:i/>
          <w:iCs/>
        </w:rPr>
      </w:pPr>
    </w:p>
    <w:p w14:paraId="0DE9F3F6" w14:textId="77777777" w:rsidR="00B14850" w:rsidRDefault="00B14850" w:rsidP="00B14850">
      <w:pPr>
        <w:rPr>
          <w:rFonts w:eastAsia="Lato"/>
          <w:i/>
          <w:iCs/>
        </w:rPr>
      </w:pPr>
      <w:r w:rsidRPr="00236ADE">
        <w:rPr>
          <w:rFonts w:eastAsia="Lato"/>
          <w:i/>
          <w:iCs/>
        </w:rPr>
        <w:t xml:space="preserve">Inspire and encourage inclusive, innovative, diverse and creative patient and public involvement and </w:t>
      </w:r>
      <w:proofErr w:type="gramStart"/>
      <w:r w:rsidRPr="00236ADE">
        <w:rPr>
          <w:rFonts w:eastAsia="Lato"/>
          <w:i/>
          <w:iCs/>
        </w:rPr>
        <w:t>engagement</w:t>
      </w:r>
      <w:proofErr w:type="gramEnd"/>
    </w:p>
    <w:p w14:paraId="456A3D7F" w14:textId="77777777" w:rsidR="003D11E5" w:rsidRPr="00236ADE" w:rsidRDefault="003D11E5" w:rsidP="00B14850">
      <w:pPr>
        <w:rPr>
          <w:rFonts w:eastAsia="Lato"/>
          <w:i/>
          <w:iCs/>
        </w:rPr>
      </w:pPr>
    </w:p>
    <w:p w14:paraId="3A480449" w14:textId="60C20295" w:rsidR="00F51F55" w:rsidRPr="00236ADE" w:rsidRDefault="002F7346" w:rsidP="00B14850">
      <w:pPr>
        <w:rPr>
          <w:rFonts w:eastAsia="Lato"/>
          <w:i/>
          <w:iCs/>
        </w:rPr>
      </w:pPr>
      <w:r w:rsidRPr="00236ADE">
        <w:rPr>
          <w:rFonts w:eastAsia="Lato"/>
        </w:rPr>
        <w:t>This year we</w:t>
      </w:r>
      <w:r w:rsidR="00F80688" w:rsidRPr="00236ADE">
        <w:rPr>
          <w:rFonts w:eastAsia="Lato"/>
        </w:rPr>
        <w:t xml:space="preserve"> ran a very successful PPIE award competition </w:t>
      </w:r>
      <w:r w:rsidR="003D45FE" w:rsidRPr="00236ADE">
        <w:rPr>
          <w:rFonts w:eastAsia="Lato"/>
        </w:rPr>
        <w:t xml:space="preserve">to provide researchers with funds </w:t>
      </w:r>
      <w:r w:rsidR="003C17E8" w:rsidRPr="00236ADE">
        <w:rPr>
          <w:rFonts w:eastAsia="Lato"/>
        </w:rPr>
        <w:t xml:space="preserve">to enhance their involvement/ engagement work by adding novel and creative methods and/ or reaching out to </w:t>
      </w:r>
      <w:proofErr w:type="spellStart"/>
      <w:r w:rsidR="003C17E8" w:rsidRPr="00236ADE">
        <w:rPr>
          <w:rFonts w:eastAsia="Lato"/>
        </w:rPr>
        <w:t>minoritised</w:t>
      </w:r>
      <w:proofErr w:type="spellEnd"/>
      <w:r w:rsidR="003C17E8" w:rsidRPr="00236ADE">
        <w:rPr>
          <w:rFonts w:eastAsia="Lato"/>
        </w:rPr>
        <w:t xml:space="preserve"> communities in addition to their existing plans. The calibre of applications was extremely </w:t>
      </w:r>
      <w:proofErr w:type="gramStart"/>
      <w:r w:rsidR="003C17E8" w:rsidRPr="00236ADE">
        <w:rPr>
          <w:rFonts w:eastAsia="Lato"/>
        </w:rPr>
        <w:t>high</w:t>
      </w:r>
      <w:proofErr w:type="gramEnd"/>
      <w:r w:rsidR="003C17E8" w:rsidRPr="00236ADE">
        <w:rPr>
          <w:rFonts w:eastAsia="Lato"/>
        </w:rPr>
        <w:t xml:space="preserve"> and</w:t>
      </w:r>
      <w:r w:rsidR="00E60256" w:rsidRPr="00236ADE">
        <w:rPr>
          <w:rFonts w:eastAsia="Lato"/>
        </w:rPr>
        <w:t xml:space="preserve"> 5 awards were made</w:t>
      </w:r>
      <w:r w:rsidR="00F51F55" w:rsidRPr="00236ADE">
        <w:rPr>
          <w:rFonts w:eastAsia="Lato"/>
        </w:rPr>
        <w:t>. Each project involves p</w:t>
      </w:r>
      <w:r w:rsidR="0042193D" w:rsidRPr="00236ADE">
        <w:rPr>
          <w:rFonts w:eastAsia="Lato"/>
        </w:rPr>
        <w:t>ublic contributors as co-applicants</w:t>
      </w:r>
      <w:r w:rsidR="00F25D91" w:rsidRPr="00236ADE">
        <w:rPr>
          <w:rFonts w:eastAsia="Lato"/>
        </w:rPr>
        <w:t xml:space="preserve"> and we would like to highlight the project </w:t>
      </w:r>
      <w:r w:rsidR="00F25D91" w:rsidRPr="00236ADE">
        <w:rPr>
          <w:rFonts w:eastAsia="Lato"/>
          <w:i/>
          <w:iCs/>
        </w:rPr>
        <w:t xml:space="preserve">Bridging Gaps: Lived experience changing primary care services </w:t>
      </w:r>
      <w:r w:rsidR="00F25D91" w:rsidRPr="00236ADE">
        <w:rPr>
          <w:rFonts w:eastAsia="Lato"/>
        </w:rPr>
        <w:t xml:space="preserve">(ref </w:t>
      </w:r>
      <w:r w:rsidR="002513B4" w:rsidRPr="00236ADE">
        <w:rPr>
          <w:rFonts w:eastAsia="Lato"/>
        </w:rPr>
        <w:t>685)</w:t>
      </w:r>
      <w:r w:rsidR="005D16E7" w:rsidRPr="00236ADE">
        <w:rPr>
          <w:rFonts w:eastAsia="Lato"/>
        </w:rPr>
        <w:t xml:space="preserve"> </w:t>
      </w:r>
      <w:r w:rsidR="00E72F40" w:rsidRPr="00236ADE">
        <w:rPr>
          <w:rFonts w:eastAsia="Lato"/>
        </w:rPr>
        <w:t>intending to</w:t>
      </w:r>
      <w:r w:rsidR="005D16E7" w:rsidRPr="00236ADE">
        <w:rPr>
          <w:rFonts w:eastAsia="Lato"/>
        </w:rPr>
        <w:t xml:space="preserve"> extend the work of the Bridging Gaps project</w:t>
      </w:r>
      <w:r w:rsidR="00E72F40" w:rsidRPr="00236ADE">
        <w:rPr>
          <w:rFonts w:eastAsia="Lato"/>
        </w:rPr>
        <w:t>, a group of women with lived experiences of extensive trauma, including addiction, homelessness, mental health problems, sexual exploitation, domestic and sexual violence, and poverty. The project</w:t>
      </w:r>
      <w:r w:rsidR="003176F7" w:rsidRPr="00236ADE">
        <w:rPr>
          <w:rFonts w:eastAsia="Lato"/>
        </w:rPr>
        <w:t xml:space="preserve"> improves</w:t>
      </w:r>
      <w:r w:rsidR="00E72F40" w:rsidRPr="00236ADE">
        <w:rPr>
          <w:rFonts w:eastAsia="Lato"/>
        </w:rPr>
        <w:t xml:space="preserve"> access to primary care for others who have also experienced trauma and/or have complex needs, working in collaboration with GP practices</w:t>
      </w:r>
    </w:p>
    <w:p w14:paraId="0FB55F05" w14:textId="77777777" w:rsidR="00F51F55" w:rsidRPr="00236ADE" w:rsidRDefault="00F51F55" w:rsidP="00F51F55">
      <w:pPr>
        <w:rPr>
          <w:rFonts w:eastAsia="Lato"/>
        </w:rPr>
      </w:pPr>
    </w:p>
    <w:p w14:paraId="72BF05DB" w14:textId="5F937F27" w:rsidR="00F51F55" w:rsidRPr="00236ADE" w:rsidRDefault="00D8117D" w:rsidP="00F51F55">
      <w:pPr>
        <w:rPr>
          <w:rFonts w:eastAsia="Lato"/>
        </w:rPr>
      </w:pPr>
      <w:r w:rsidRPr="00236ADE">
        <w:rPr>
          <w:rFonts w:eastAsia="Lato"/>
        </w:rPr>
        <w:t>List of</w:t>
      </w:r>
      <w:r w:rsidR="00F51F55" w:rsidRPr="00236ADE">
        <w:rPr>
          <w:rFonts w:eastAsia="Lato"/>
        </w:rPr>
        <w:t xml:space="preserve"> PPI Awards granted</w:t>
      </w:r>
    </w:p>
    <w:p w14:paraId="529CF68E" w14:textId="77777777" w:rsidR="00F51F55" w:rsidRPr="00236ADE" w:rsidRDefault="00F51F55" w:rsidP="00F51F55">
      <w:pPr>
        <w:pStyle w:val="ListParagraph"/>
        <w:numPr>
          <w:ilvl w:val="0"/>
          <w:numId w:val="13"/>
        </w:numPr>
        <w:rPr>
          <w:rFonts w:eastAsia="Lato"/>
        </w:rPr>
      </w:pPr>
      <w:r w:rsidRPr="00236ADE">
        <w:rPr>
          <w:rFonts w:eastAsia="Lato"/>
        </w:rPr>
        <w:t>Bridging Gaps: Lived experience changing primary care services</w:t>
      </w:r>
    </w:p>
    <w:p w14:paraId="6AAB838B" w14:textId="77777777" w:rsidR="00F51F55" w:rsidRPr="00236ADE" w:rsidRDefault="00F51F55" w:rsidP="00F51F55">
      <w:pPr>
        <w:pStyle w:val="ListParagraph"/>
        <w:numPr>
          <w:ilvl w:val="0"/>
          <w:numId w:val="13"/>
        </w:numPr>
        <w:rPr>
          <w:rFonts w:eastAsia="Lato"/>
        </w:rPr>
      </w:pPr>
      <w:r w:rsidRPr="00236ADE">
        <w:rPr>
          <w:rFonts w:eastAsia="Lato"/>
        </w:rPr>
        <w:t xml:space="preserve">Symptom Patterns and life with longer-Term COVID-19 in children and young people: </w:t>
      </w:r>
      <w:proofErr w:type="spellStart"/>
      <w:r w:rsidRPr="00236ADE">
        <w:rPr>
          <w:rFonts w:eastAsia="Lato"/>
        </w:rPr>
        <w:t>cOproductiON</w:t>
      </w:r>
      <w:proofErr w:type="spellEnd"/>
      <w:r w:rsidRPr="00236ADE">
        <w:rPr>
          <w:rFonts w:eastAsia="Lato"/>
        </w:rPr>
        <w:t xml:space="preserve"> of long-Covid resources for children and young people (</w:t>
      </w:r>
      <w:proofErr w:type="spellStart"/>
      <w:r w:rsidRPr="00236ADE">
        <w:rPr>
          <w:rFonts w:eastAsia="Lato"/>
        </w:rPr>
        <w:t>SPLaToon</w:t>
      </w:r>
      <w:proofErr w:type="spellEnd"/>
      <w:r w:rsidRPr="00236ADE">
        <w:rPr>
          <w:rFonts w:eastAsia="Lato"/>
        </w:rPr>
        <w:t>)</w:t>
      </w:r>
    </w:p>
    <w:p w14:paraId="50E26328" w14:textId="77777777" w:rsidR="00F51F55" w:rsidRPr="00236ADE" w:rsidRDefault="00F51F55" w:rsidP="00F51F55">
      <w:pPr>
        <w:pStyle w:val="ListParagraph"/>
        <w:numPr>
          <w:ilvl w:val="0"/>
          <w:numId w:val="13"/>
        </w:numPr>
        <w:rPr>
          <w:rFonts w:eastAsia="Lato"/>
        </w:rPr>
      </w:pPr>
      <w:r w:rsidRPr="00236ADE">
        <w:rPr>
          <w:rFonts w:eastAsia="Lato"/>
        </w:rPr>
        <w:t>The Creative Community Output Collective: exploring local communities experience during the covid-19 pandemic in Greater Manchester</w:t>
      </w:r>
    </w:p>
    <w:p w14:paraId="1802D272" w14:textId="77777777" w:rsidR="00F51F55" w:rsidRPr="00236ADE" w:rsidRDefault="00F51F55" w:rsidP="00F51F55">
      <w:pPr>
        <w:pStyle w:val="ListParagraph"/>
        <w:numPr>
          <w:ilvl w:val="0"/>
          <w:numId w:val="13"/>
        </w:numPr>
        <w:rPr>
          <w:rFonts w:eastAsia="Lato"/>
        </w:rPr>
      </w:pPr>
      <w:r w:rsidRPr="00236ADE">
        <w:rPr>
          <w:rFonts w:eastAsia="Lato"/>
        </w:rPr>
        <w:lastRenderedPageBreak/>
        <w:t>Exploring approaches to reach and engage people with chronic high pain (CHIP)</w:t>
      </w:r>
    </w:p>
    <w:p w14:paraId="3F501BE2" w14:textId="77777777" w:rsidR="00F51F55" w:rsidRPr="00236ADE" w:rsidRDefault="00F51F55" w:rsidP="00F51F55">
      <w:pPr>
        <w:pStyle w:val="ListParagraph"/>
        <w:numPr>
          <w:ilvl w:val="0"/>
          <w:numId w:val="13"/>
        </w:numPr>
        <w:rPr>
          <w:rFonts w:eastAsia="Lato"/>
        </w:rPr>
      </w:pPr>
      <w:r w:rsidRPr="00236ADE">
        <w:rPr>
          <w:rFonts w:eastAsia="Lato"/>
        </w:rPr>
        <w:t>Found poetry: a creative approach to explore the lived experiences of blood testing</w:t>
      </w:r>
    </w:p>
    <w:p w14:paraId="29CCFD70" w14:textId="77777777" w:rsidR="008A727C" w:rsidRPr="00236ADE" w:rsidRDefault="008A727C" w:rsidP="008A727C">
      <w:pPr>
        <w:pStyle w:val="ListParagraph"/>
        <w:rPr>
          <w:rFonts w:eastAsia="Lato"/>
        </w:rPr>
      </w:pPr>
    </w:p>
    <w:p w14:paraId="4428A8AF" w14:textId="1979A7B1" w:rsidR="008A727C" w:rsidRPr="00236ADE" w:rsidRDefault="00D048B5" w:rsidP="00D048B5">
      <w:pPr>
        <w:rPr>
          <w:rFonts w:eastAsia="Lato"/>
          <w:i/>
          <w:iCs/>
        </w:rPr>
      </w:pPr>
      <w:r w:rsidRPr="00236ADE">
        <w:rPr>
          <w:rFonts w:eastAsia="Lato"/>
          <w:i/>
          <w:iCs/>
        </w:rPr>
        <w:t>Improve the knowledge sharing of patient and public involvement and engagement</w:t>
      </w:r>
      <w:r w:rsidRPr="00236ADE">
        <w:rPr>
          <w:rFonts w:eastAsia="Lato"/>
          <w:i/>
          <w:iCs/>
        </w:rPr>
        <w:cr/>
      </w:r>
    </w:p>
    <w:p w14:paraId="2E6ACF3C" w14:textId="3620114B" w:rsidR="00F51F55" w:rsidRDefault="0007319A" w:rsidP="00F51F55">
      <w:pPr>
        <w:rPr>
          <w:rFonts w:eastAsia="Lato"/>
        </w:rPr>
      </w:pPr>
      <w:r>
        <w:rPr>
          <w:rFonts w:eastAsia="Lato"/>
        </w:rPr>
        <w:t>Alongside colleagues from across our networks the SPCR has</w:t>
      </w:r>
      <w:r w:rsidR="004E32A0">
        <w:rPr>
          <w:rFonts w:eastAsia="Lato"/>
        </w:rPr>
        <w:t xml:space="preserve"> hosted or contributed to a series of online workshops during the last year, including </w:t>
      </w:r>
      <w:r w:rsidR="004E32A0" w:rsidRPr="004E32A0">
        <w:rPr>
          <w:rFonts w:eastAsia="Lato"/>
          <w:i/>
          <w:iCs/>
        </w:rPr>
        <w:t>Exploring the impact of patient, public and community engagement and involvement in the design and development of the evaluation of the Recovery Navigator programme in the north-east and north Cumbria</w:t>
      </w:r>
      <w:r w:rsidR="004E32A0">
        <w:rPr>
          <w:rFonts w:eastAsia="Lato"/>
          <w:i/>
          <w:iCs/>
        </w:rPr>
        <w:t xml:space="preserve">, </w:t>
      </w:r>
      <w:r w:rsidR="00053AB7">
        <w:rPr>
          <w:rFonts w:eastAsia="Lato"/>
        </w:rPr>
        <w:t xml:space="preserve">as well as </w:t>
      </w:r>
      <w:r w:rsidR="00053AB7" w:rsidRPr="00053AB7">
        <w:rPr>
          <w:rFonts w:eastAsia="Lato"/>
          <w:i/>
          <w:iCs/>
        </w:rPr>
        <w:t>Why and how to involve people living with dementia and learning disabilities in research</w:t>
      </w:r>
      <w:r w:rsidR="00053AB7">
        <w:rPr>
          <w:rFonts w:eastAsia="Lato"/>
          <w:i/>
          <w:iCs/>
        </w:rPr>
        <w:t xml:space="preserve">. </w:t>
      </w:r>
      <w:r w:rsidR="00053AB7">
        <w:rPr>
          <w:rFonts w:eastAsia="Lato"/>
        </w:rPr>
        <w:t>These events have</w:t>
      </w:r>
      <w:r w:rsidR="001B51F1">
        <w:rPr>
          <w:rFonts w:eastAsia="Lato"/>
        </w:rPr>
        <w:t xml:space="preserve"> involved researchers </w:t>
      </w:r>
      <w:r w:rsidR="001B51F1" w:rsidRPr="001B51F1">
        <w:rPr>
          <w:rFonts w:eastAsia="Lato"/>
        </w:rPr>
        <w:t xml:space="preserve">sharing their experiences and tips of working with people with lived </w:t>
      </w:r>
      <w:proofErr w:type="gramStart"/>
      <w:r w:rsidR="001B51F1" w:rsidRPr="001B51F1">
        <w:rPr>
          <w:rFonts w:eastAsia="Lato"/>
        </w:rPr>
        <w:t>experience</w:t>
      </w:r>
      <w:proofErr w:type="gramEnd"/>
    </w:p>
    <w:p w14:paraId="1645349D" w14:textId="77777777" w:rsidR="007C16BE" w:rsidRDefault="007C16BE" w:rsidP="00F51F55">
      <w:pPr>
        <w:rPr>
          <w:rFonts w:eastAsia="Lato"/>
        </w:rPr>
      </w:pPr>
    </w:p>
    <w:p w14:paraId="1EE18B7E" w14:textId="0138AB81" w:rsidR="007C16BE" w:rsidRPr="00053AB7" w:rsidRDefault="007C16BE" w:rsidP="00F51F55">
      <w:pPr>
        <w:rPr>
          <w:rFonts w:eastAsia="Lato"/>
        </w:rPr>
      </w:pPr>
      <w:r>
        <w:rPr>
          <w:rFonts w:eastAsia="Lato"/>
        </w:rPr>
        <w:t xml:space="preserve">The first of four papers commissioned from the school by the European Journal of General Practice has been submitted for publication. The four papers will </w:t>
      </w:r>
      <w:proofErr w:type="gramStart"/>
      <w:r>
        <w:rPr>
          <w:rFonts w:eastAsia="Lato"/>
        </w:rPr>
        <w:t>cover;</w:t>
      </w:r>
      <w:proofErr w:type="gramEnd"/>
      <w:r>
        <w:rPr>
          <w:rFonts w:eastAsia="Lato"/>
        </w:rPr>
        <w:t xml:space="preserve"> </w:t>
      </w:r>
      <w:r w:rsidRPr="007C16BE">
        <w:rPr>
          <w:rFonts w:eastAsia="Lato"/>
          <w:i/>
          <w:iCs/>
        </w:rPr>
        <w:t>F</w:t>
      </w:r>
      <w:r w:rsidRPr="007C16BE">
        <w:rPr>
          <w:rFonts w:eastAsia="Lato"/>
          <w:i/>
          <w:iCs/>
        </w:rPr>
        <w:t xml:space="preserve">undamentals of </w:t>
      </w:r>
      <w:r w:rsidRPr="007C16BE">
        <w:rPr>
          <w:rFonts w:eastAsia="Lato"/>
          <w:i/>
          <w:iCs/>
        </w:rPr>
        <w:t>P</w:t>
      </w:r>
      <w:r w:rsidRPr="007C16BE">
        <w:rPr>
          <w:rFonts w:eastAsia="Lato"/>
          <w:i/>
          <w:iCs/>
        </w:rPr>
        <w:t xml:space="preserve">ublic </w:t>
      </w:r>
      <w:r w:rsidRPr="007C16BE">
        <w:rPr>
          <w:rFonts w:eastAsia="Lato"/>
          <w:i/>
          <w:iCs/>
        </w:rPr>
        <w:t>E</w:t>
      </w:r>
      <w:r w:rsidRPr="007C16BE">
        <w:rPr>
          <w:rFonts w:eastAsia="Lato"/>
          <w:i/>
          <w:iCs/>
        </w:rPr>
        <w:t>ngagement</w:t>
      </w:r>
      <w:r w:rsidRPr="007C16BE">
        <w:rPr>
          <w:rFonts w:eastAsia="Lato"/>
          <w:i/>
          <w:iCs/>
        </w:rPr>
        <w:t xml:space="preserve">, Engaging with Underserved Communities, Community Engagement </w:t>
      </w:r>
      <w:r>
        <w:rPr>
          <w:rFonts w:eastAsia="Lato"/>
        </w:rPr>
        <w:t xml:space="preserve">and </w:t>
      </w:r>
      <w:r w:rsidRPr="007C16BE">
        <w:rPr>
          <w:rFonts w:eastAsia="Lato"/>
          <w:i/>
          <w:iCs/>
        </w:rPr>
        <w:t>Co-production, Role of the Public in the Implementation of Research</w:t>
      </w:r>
    </w:p>
    <w:sectPr w:rsidR="007C16BE" w:rsidRPr="00053AB7">
      <w:headerReference w:type="even" r:id="rId10"/>
      <w:headerReference w:type="default" r:id="rId11"/>
      <w:footerReference w:type="even" r:id="rId12"/>
      <w:footerReference w:type="default" r:id="rId13"/>
      <w:headerReference w:type="first" r:id="rId14"/>
      <w:footerReference w:type="first" r:id="rId15"/>
      <w:pgSz w:w="11909" w:h="16834"/>
      <w:pgMar w:top="1440" w:right="1440" w:bottom="1440" w:left="1440" w:header="720" w:footer="56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1FEB7" w14:textId="77777777" w:rsidR="00024F58" w:rsidRDefault="00024F58">
      <w:pPr>
        <w:spacing w:line="240" w:lineRule="auto"/>
      </w:pPr>
      <w:r>
        <w:separator/>
      </w:r>
    </w:p>
  </w:endnote>
  <w:endnote w:type="continuationSeparator" w:id="0">
    <w:p w14:paraId="017973BB" w14:textId="77777777" w:rsidR="00024F58" w:rsidRDefault="00024F58">
      <w:pPr>
        <w:spacing w:line="240" w:lineRule="auto"/>
      </w:pPr>
      <w:r>
        <w:continuationSeparator/>
      </w:r>
    </w:p>
  </w:endnote>
  <w:endnote w:type="continuationNotice" w:id="1">
    <w:p w14:paraId="23E50AB7" w14:textId="77777777" w:rsidR="00024F58" w:rsidRDefault="00024F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5E171" w14:textId="77777777" w:rsidR="00EC1879" w:rsidRDefault="00EC1879">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4A9CE" w14:textId="77777777" w:rsidR="00EC1879" w:rsidRDefault="00E52D1F">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858E" w14:textId="77777777" w:rsidR="00EC1879" w:rsidRDefault="00EC18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754D1" w14:textId="77777777" w:rsidR="00024F58" w:rsidRDefault="00024F58">
      <w:pPr>
        <w:spacing w:line="240" w:lineRule="auto"/>
      </w:pPr>
      <w:r>
        <w:separator/>
      </w:r>
    </w:p>
  </w:footnote>
  <w:footnote w:type="continuationSeparator" w:id="0">
    <w:p w14:paraId="16ED210D" w14:textId="77777777" w:rsidR="00024F58" w:rsidRDefault="00024F58">
      <w:pPr>
        <w:spacing w:line="240" w:lineRule="auto"/>
      </w:pPr>
      <w:r>
        <w:continuationSeparator/>
      </w:r>
    </w:p>
  </w:footnote>
  <w:footnote w:type="continuationNotice" w:id="1">
    <w:p w14:paraId="4B6E9A85" w14:textId="77777777" w:rsidR="00024F58" w:rsidRDefault="00024F5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B0F9" w14:textId="77777777" w:rsidR="00EC1879" w:rsidRDefault="00EC1879">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CE99" w14:textId="77777777" w:rsidR="00EC1879" w:rsidRDefault="00EC1879">
    <w:pPr>
      <w:pBdr>
        <w:top w:val="nil"/>
        <w:left w:val="nil"/>
        <w:bottom w:val="nil"/>
        <w:right w:val="nil"/>
        <w:between w:val="nil"/>
      </w:pBdr>
      <w:tabs>
        <w:tab w:val="center" w:pos="4513"/>
        <w:tab w:val="right" w:pos="9026"/>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30D5" w14:textId="77777777" w:rsidR="00EC1879" w:rsidRDefault="00E52D1F">
    <w:r>
      <w:rPr>
        <w:noProof/>
      </w:rPr>
      <w:drawing>
        <wp:inline distT="0" distB="0" distL="0" distR="0" wp14:anchorId="7DF8DC3A" wp14:editId="4F25A25E">
          <wp:extent cx="2771758" cy="27697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1758" cy="27697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5808"/>
    <w:multiLevelType w:val="multilevel"/>
    <w:tmpl w:val="EE329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E60167"/>
    <w:multiLevelType w:val="multilevel"/>
    <w:tmpl w:val="FC420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8F0094"/>
    <w:multiLevelType w:val="hybridMultilevel"/>
    <w:tmpl w:val="D29E7DD2"/>
    <w:lvl w:ilvl="0" w:tplc="98FC76B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9540F"/>
    <w:multiLevelType w:val="hybridMultilevel"/>
    <w:tmpl w:val="27A8B23A"/>
    <w:lvl w:ilvl="0" w:tplc="98FC76B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79EDD"/>
    <w:multiLevelType w:val="hybridMultilevel"/>
    <w:tmpl w:val="4EB6F3DA"/>
    <w:lvl w:ilvl="0" w:tplc="8904E0A8">
      <w:start w:val="1"/>
      <w:numFmt w:val="bullet"/>
      <w:lvlText w:val=""/>
      <w:lvlJc w:val="left"/>
      <w:pPr>
        <w:ind w:left="720" w:hanging="360"/>
      </w:pPr>
      <w:rPr>
        <w:rFonts w:ascii="Symbol" w:hAnsi="Symbol" w:hint="default"/>
      </w:rPr>
    </w:lvl>
    <w:lvl w:ilvl="1" w:tplc="45E2852E">
      <w:start w:val="1"/>
      <w:numFmt w:val="bullet"/>
      <w:lvlText w:val="o"/>
      <w:lvlJc w:val="left"/>
      <w:pPr>
        <w:ind w:left="1440" w:hanging="360"/>
      </w:pPr>
      <w:rPr>
        <w:rFonts w:ascii="Courier New" w:hAnsi="Courier New" w:hint="default"/>
      </w:rPr>
    </w:lvl>
    <w:lvl w:ilvl="2" w:tplc="D1345F7E">
      <w:start w:val="1"/>
      <w:numFmt w:val="bullet"/>
      <w:lvlText w:val=""/>
      <w:lvlJc w:val="left"/>
      <w:pPr>
        <w:ind w:left="2160" w:hanging="360"/>
      </w:pPr>
      <w:rPr>
        <w:rFonts w:ascii="Wingdings" w:hAnsi="Wingdings" w:hint="default"/>
      </w:rPr>
    </w:lvl>
    <w:lvl w:ilvl="3" w:tplc="D1E829BC">
      <w:start w:val="1"/>
      <w:numFmt w:val="bullet"/>
      <w:lvlText w:val=""/>
      <w:lvlJc w:val="left"/>
      <w:pPr>
        <w:ind w:left="2880" w:hanging="360"/>
      </w:pPr>
      <w:rPr>
        <w:rFonts w:ascii="Symbol" w:hAnsi="Symbol" w:hint="default"/>
      </w:rPr>
    </w:lvl>
    <w:lvl w:ilvl="4" w:tplc="7436CFCE">
      <w:start w:val="1"/>
      <w:numFmt w:val="bullet"/>
      <w:lvlText w:val="o"/>
      <w:lvlJc w:val="left"/>
      <w:pPr>
        <w:ind w:left="3600" w:hanging="360"/>
      </w:pPr>
      <w:rPr>
        <w:rFonts w:ascii="Courier New" w:hAnsi="Courier New" w:hint="default"/>
      </w:rPr>
    </w:lvl>
    <w:lvl w:ilvl="5" w:tplc="AC98E78C">
      <w:start w:val="1"/>
      <w:numFmt w:val="bullet"/>
      <w:lvlText w:val=""/>
      <w:lvlJc w:val="left"/>
      <w:pPr>
        <w:ind w:left="4320" w:hanging="360"/>
      </w:pPr>
      <w:rPr>
        <w:rFonts w:ascii="Wingdings" w:hAnsi="Wingdings" w:hint="default"/>
      </w:rPr>
    </w:lvl>
    <w:lvl w:ilvl="6" w:tplc="7E80907E">
      <w:start w:val="1"/>
      <w:numFmt w:val="bullet"/>
      <w:lvlText w:val=""/>
      <w:lvlJc w:val="left"/>
      <w:pPr>
        <w:ind w:left="5040" w:hanging="360"/>
      </w:pPr>
      <w:rPr>
        <w:rFonts w:ascii="Symbol" w:hAnsi="Symbol" w:hint="default"/>
      </w:rPr>
    </w:lvl>
    <w:lvl w:ilvl="7" w:tplc="B21679C4">
      <w:start w:val="1"/>
      <w:numFmt w:val="bullet"/>
      <w:lvlText w:val="o"/>
      <w:lvlJc w:val="left"/>
      <w:pPr>
        <w:ind w:left="5760" w:hanging="360"/>
      </w:pPr>
      <w:rPr>
        <w:rFonts w:ascii="Courier New" w:hAnsi="Courier New" w:hint="default"/>
      </w:rPr>
    </w:lvl>
    <w:lvl w:ilvl="8" w:tplc="C4AE000C">
      <w:start w:val="1"/>
      <w:numFmt w:val="bullet"/>
      <w:lvlText w:val=""/>
      <w:lvlJc w:val="left"/>
      <w:pPr>
        <w:ind w:left="6480" w:hanging="360"/>
      </w:pPr>
      <w:rPr>
        <w:rFonts w:ascii="Wingdings" w:hAnsi="Wingdings" w:hint="default"/>
      </w:rPr>
    </w:lvl>
  </w:abstractNum>
  <w:abstractNum w:abstractNumId="5" w15:restartNumberingAfterBreak="0">
    <w:nsid w:val="4F3B5B0D"/>
    <w:multiLevelType w:val="hybridMultilevel"/>
    <w:tmpl w:val="3432BED0"/>
    <w:lvl w:ilvl="0" w:tplc="A614BEA8">
      <w:start w:val="1"/>
      <w:numFmt w:val="bullet"/>
      <w:lvlText w:val=""/>
      <w:lvlJc w:val="left"/>
      <w:pPr>
        <w:ind w:left="720" w:hanging="360"/>
      </w:pPr>
      <w:rPr>
        <w:rFonts w:ascii="Symbol" w:hAnsi="Symbol" w:hint="default"/>
      </w:rPr>
    </w:lvl>
    <w:lvl w:ilvl="1" w:tplc="B9DE29F8">
      <w:start w:val="1"/>
      <w:numFmt w:val="bullet"/>
      <w:lvlText w:val="o"/>
      <w:lvlJc w:val="left"/>
      <w:pPr>
        <w:ind w:left="1440" w:hanging="360"/>
      </w:pPr>
      <w:rPr>
        <w:rFonts w:ascii="Courier New" w:hAnsi="Courier New" w:hint="default"/>
      </w:rPr>
    </w:lvl>
    <w:lvl w:ilvl="2" w:tplc="8C60A80E">
      <w:start w:val="1"/>
      <w:numFmt w:val="bullet"/>
      <w:lvlText w:val=""/>
      <w:lvlJc w:val="left"/>
      <w:pPr>
        <w:ind w:left="2160" w:hanging="360"/>
      </w:pPr>
      <w:rPr>
        <w:rFonts w:ascii="Wingdings" w:hAnsi="Wingdings" w:hint="default"/>
      </w:rPr>
    </w:lvl>
    <w:lvl w:ilvl="3" w:tplc="B0FAE2C6">
      <w:start w:val="1"/>
      <w:numFmt w:val="bullet"/>
      <w:lvlText w:val=""/>
      <w:lvlJc w:val="left"/>
      <w:pPr>
        <w:ind w:left="2880" w:hanging="360"/>
      </w:pPr>
      <w:rPr>
        <w:rFonts w:ascii="Symbol" w:hAnsi="Symbol" w:hint="default"/>
      </w:rPr>
    </w:lvl>
    <w:lvl w:ilvl="4" w:tplc="5658F714">
      <w:start w:val="1"/>
      <w:numFmt w:val="bullet"/>
      <w:lvlText w:val="o"/>
      <w:lvlJc w:val="left"/>
      <w:pPr>
        <w:ind w:left="3600" w:hanging="360"/>
      </w:pPr>
      <w:rPr>
        <w:rFonts w:ascii="Courier New" w:hAnsi="Courier New" w:hint="default"/>
      </w:rPr>
    </w:lvl>
    <w:lvl w:ilvl="5" w:tplc="3C502202">
      <w:start w:val="1"/>
      <w:numFmt w:val="bullet"/>
      <w:lvlText w:val=""/>
      <w:lvlJc w:val="left"/>
      <w:pPr>
        <w:ind w:left="4320" w:hanging="360"/>
      </w:pPr>
      <w:rPr>
        <w:rFonts w:ascii="Wingdings" w:hAnsi="Wingdings" w:hint="default"/>
      </w:rPr>
    </w:lvl>
    <w:lvl w:ilvl="6" w:tplc="F41C647E">
      <w:start w:val="1"/>
      <w:numFmt w:val="bullet"/>
      <w:lvlText w:val=""/>
      <w:lvlJc w:val="left"/>
      <w:pPr>
        <w:ind w:left="5040" w:hanging="360"/>
      </w:pPr>
      <w:rPr>
        <w:rFonts w:ascii="Symbol" w:hAnsi="Symbol" w:hint="default"/>
      </w:rPr>
    </w:lvl>
    <w:lvl w:ilvl="7" w:tplc="A844C08A">
      <w:start w:val="1"/>
      <w:numFmt w:val="bullet"/>
      <w:lvlText w:val="o"/>
      <w:lvlJc w:val="left"/>
      <w:pPr>
        <w:ind w:left="5760" w:hanging="360"/>
      </w:pPr>
      <w:rPr>
        <w:rFonts w:ascii="Courier New" w:hAnsi="Courier New" w:hint="default"/>
      </w:rPr>
    </w:lvl>
    <w:lvl w:ilvl="8" w:tplc="F71C83F8">
      <w:start w:val="1"/>
      <w:numFmt w:val="bullet"/>
      <w:lvlText w:val=""/>
      <w:lvlJc w:val="left"/>
      <w:pPr>
        <w:ind w:left="6480" w:hanging="360"/>
      </w:pPr>
      <w:rPr>
        <w:rFonts w:ascii="Wingdings" w:hAnsi="Wingdings" w:hint="default"/>
      </w:rPr>
    </w:lvl>
  </w:abstractNum>
  <w:abstractNum w:abstractNumId="6" w15:restartNumberingAfterBreak="0">
    <w:nsid w:val="58E714B5"/>
    <w:multiLevelType w:val="hybridMultilevel"/>
    <w:tmpl w:val="4576111E"/>
    <w:lvl w:ilvl="0" w:tplc="05FCDB7E">
      <w:start w:val="1"/>
      <w:numFmt w:val="bullet"/>
      <w:lvlText w:val=""/>
      <w:lvlJc w:val="left"/>
      <w:pPr>
        <w:ind w:left="720" w:hanging="360"/>
      </w:pPr>
      <w:rPr>
        <w:rFonts w:ascii="Symbol" w:hAnsi="Symbol" w:hint="default"/>
      </w:rPr>
    </w:lvl>
    <w:lvl w:ilvl="1" w:tplc="00FAC702">
      <w:start w:val="1"/>
      <w:numFmt w:val="bullet"/>
      <w:lvlText w:val="o"/>
      <w:lvlJc w:val="left"/>
      <w:pPr>
        <w:ind w:left="1440" w:hanging="360"/>
      </w:pPr>
      <w:rPr>
        <w:rFonts w:ascii="Courier New" w:hAnsi="Courier New" w:hint="default"/>
      </w:rPr>
    </w:lvl>
    <w:lvl w:ilvl="2" w:tplc="0E0E7DB6">
      <w:start w:val="1"/>
      <w:numFmt w:val="bullet"/>
      <w:lvlText w:val=""/>
      <w:lvlJc w:val="left"/>
      <w:pPr>
        <w:ind w:left="2160" w:hanging="360"/>
      </w:pPr>
      <w:rPr>
        <w:rFonts w:ascii="Wingdings" w:hAnsi="Wingdings" w:hint="default"/>
      </w:rPr>
    </w:lvl>
    <w:lvl w:ilvl="3" w:tplc="1136A8A8">
      <w:start w:val="1"/>
      <w:numFmt w:val="bullet"/>
      <w:lvlText w:val=""/>
      <w:lvlJc w:val="left"/>
      <w:pPr>
        <w:ind w:left="2880" w:hanging="360"/>
      </w:pPr>
      <w:rPr>
        <w:rFonts w:ascii="Symbol" w:hAnsi="Symbol" w:hint="default"/>
      </w:rPr>
    </w:lvl>
    <w:lvl w:ilvl="4" w:tplc="DE2E4AB0">
      <w:start w:val="1"/>
      <w:numFmt w:val="bullet"/>
      <w:lvlText w:val="o"/>
      <w:lvlJc w:val="left"/>
      <w:pPr>
        <w:ind w:left="3600" w:hanging="360"/>
      </w:pPr>
      <w:rPr>
        <w:rFonts w:ascii="Courier New" w:hAnsi="Courier New" w:hint="default"/>
      </w:rPr>
    </w:lvl>
    <w:lvl w:ilvl="5" w:tplc="D840B536">
      <w:start w:val="1"/>
      <w:numFmt w:val="bullet"/>
      <w:lvlText w:val=""/>
      <w:lvlJc w:val="left"/>
      <w:pPr>
        <w:ind w:left="4320" w:hanging="360"/>
      </w:pPr>
      <w:rPr>
        <w:rFonts w:ascii="Wingdings" w:hAnsi="Wingdings" w:hint="default"/>
      </w:rPr>
    </w:lvl>
    <w:lvl w:ilvl="6" w:tplc="58AEA304">
      <w:start w:val="1"/>
      <w:numFmt w:val="bullet"/>
      <w:lvlText w:val=""/>
      <w:lvlJc w:val="left"/>
      <w:pPr>
        <w:ind w:left="5040" w:hanging="360"/>
      </w:pPr>
      <w:rPr>
        <w:rFonts w:ascii="Symbol" w:hAnsi="Symbol" w:hint="default"/>
      </w:rPr>
    </w:lvl>
    <w:lvl w:ilvl="7" w:tplc="7348ED30">
      <w:start w:val="1"/>
      <w:numFmt w:val="bullet"/>
      <w:lvlText w:val="o"/>
      <w:lvlJc w:val="left"/>
      <w:pPr>
        <w:ind w:left="5760" w:hanging="360"/>
      </w:pPr>
      <w:rPr>
        <w:rFonts w:ascii="Courier New" w:hAnsi="Courier New" w:hint="default"/>
      </w:rPr>
    </w:lvl>
    <w:lvl w:ilvl="8" w:tplc="0D245D34">
      <w:start w:val="1"/>
      <w:numFmt w:val="bullet"/>
      <w:lvlText w:val=""/>
      <w:lvlJc w:val="left"/>
      <w:pPr>
        <w:ind w:left="6480" w:hanging="360"/>
      </w:pPr>
      <w:rPr>
        <w:rFonts w:ascii="Wingdings" w:hAnsi="Wingdings" w:hint="default"/>
      </w:rPr>
    </w:lvl>
  </w:abstractNum>
  <w:abstractNum w:abstractNumId="7" w15:restartNumberingAfterBreak="0">
    <w:nsid w:val="5E1C1928"/>
    <w:multiLevelType w:val="hybridMultilevel"/>
    <w:tmpl w:val="769243D4"/>
    <w:lvl w:ilvl="0" w:tplc="98FC76B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A267E4"/>
    <w:multiLevelType w:val="hybridMultilevel"/>
    <w:tmpl w:val="C4546652"/>
    <w:lvl w:ilvl="0" w:tplc="98FC76B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CD4C21"/>
    <w:multiLevelType w:val="hybridMultilevel"/>
    <w:tmpl w:val="A9D035B4"/>
    <w:lvl w:ilvl="0" w:tplc="98FC76B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F611A0"/>
    <w:multiLevelType w:val="hybridMultilevel"/>
    <w:tmpl w:val="95DE0A40"/>
    <w:lvl w:ilvl="0" w:tplc="98FC76B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2C59F4"/>
    <w:multiLevelType w:val="hybridMultilevel"/>
    <w:tmpl w:val="57860DBC"/>
    <w:lvl w:ilvl="0" w:tplc="98FC76B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ECED24"/>
    <w:multiLevelType w:val="hybridMultilevel"/>
    <w:tmpl w:val="56A209AA"/>
    <w:lvl w:ilvl="0" w:tplc="182E22A2">
      <w:start w:val="1"/>
      <w:numFmt w:val="bullet"/>
      <w:lvlText w:val=""/>
      <w:lvlJc w:val="left"/>
      <w:pPr>
        <w:ind w:left="720" w:hanging="360"/>
      </w:pPr>
      <w:rPr>
        <w:rFonts w:ascii="Symbol" w:hAnsi="Symbol" w:hint="default"/>
      </w:rPr>
    </w:lvl>
    <w:lvl w:ilvl="1" w:tplc="F1366CB4">
      <w:start w:val="1"/>
      <w:numFmt w:val="bullet"/>
      <w:lvlText w:val="o"/>
      <w:lvlJc w:val="left"/>
      <w:pPr>
        <w:ind w:left="1440" w:hanging="360"/>
      </w:pPr>
      <w:rPr>
        <w:rFonts w:ascii="Courier New" w:hAnsi="Courier New" w:hint="default"/>
      </w:rPr>
    </w:lvl>
    <w:lvl w:ilvl="2" w:tplc="A5AEABEC">
      <w:start w:val="1"/>
      <w:numFmt w:val="bullet"/>
      <w:lvlText w:val=""/>
      <w:lvlJc w:val="left"/>
      <w:pPr>
        <w:ind w:left="2160" w:hanging="360"/>
      </w:pPr>
      <w:rPr>
        <w:rFonts w:ascii="Wingdings" w:hAnsi="Wingdings" w:hint="default"/>
      </w:rPr>
    </w:lvl>
    <w:lvl w:ilvl="3" w:tplc="F3941302">
      <w:start w:val="1"/>
      <w:numFmt w:val="bullet"/>
      <w:lvlText w:val=""/>
      <w:lvlJc w:val="left"/>
      <w:pPr>
        <w:ind w:left="2880" w:hanging="360"/>
      </w:pPr>
      <w:rPr>
        <w:rFonts w:ascii="Symbol" w:hAnsi="Symbol" w:hint="default"/>
      </w:rPr>
    </w:lvl>
    <w:lvl w:ilvl="4" w:tplc="9F4A713A">
      <w:start w:val="1"/>
      <w:numFmt w:val="bullet"/>
      <w:lvlText w:val="o"/>
      <w:lvlJc w:val="left"/>
      <w:pPr>
        <w:ind w:left="3600" w:hanging="360"/>
      </w:pPr>
      <w:rPr>
        <w:rFonts w:ascii="Courier New" w:hAnsi="Courier New" w:hint="default"/>
      </w:rPr>
    </w:lvl>
    <w:lvl w:ilvl="5" w:tplc="3C3C31FE">
      <w:start w:val="1"/>
      <w:numFmt w:val="bullet"/>
      <w:lvlText w:val=""/>
      <w:lvlJc w:val="left"/>
      <w:pPr>
        <w:ind w:left="4320" w:hanging="360"/>
      </w:pPr>
      <w:rPr>
        <w:rFonts w:ascii="Wingdings" w:hAnsi="Wingdings" w:hint="default"/>
      </w:rPr>
    </w:lvl>
    <w:lvl w:ilvl="6" w:tplc="6BFC4502">
      <w:start w:val="1"/>
      <w:numFmt w:val="bullet"/>
      <w:lvlText w:val=""/>
      <w:lvlJc w:val="left"/>
      <w:pPr>
        <w:ind w:left="5040" w:hanging="360"/>
      </w:pPr>
      <w:rPr>
        <w:rFonts w:ascii="Symbol" w:hAnsi="Symbol" w:hint="default"/>
      </w:rPr>
    </w:lvl>
    <w:lvl w:ilvl="7" w:tplc="DBA843FC">
      <w:start w:val="1"/>
      <w:numFmt w:val="bullet"/>
      <w:lvlText w:val="o"/>
      <w:lvlJc w:val="left"/>
      <w:pPr>
        <w:ind w:left="5760" w:hanging="360"/>
      </w:pPr>
      <w:rPr>
        <w:rFonts w:ascii="Courier New" w:hAnsi="Courier New" w:hint="default"/>
      </w:rPr>
    </w:lvl>
    <w:lvl w:ilvl="8" w:tplc="87EC1142">
      <w:start w:val="1"/>
      <w:numFmt w:val="bullet"/>
      <w:lvlText w:val=""/>
      <w:lvlJc w:val="left"/>
      <w:pPr>
        <w:ind w:left="6480" w:hanging="360"/>
      </w:pPr>
      <w:rPr>
        <w:rFonts w:ascii="Wingdings" w:hAnsi="Wingdings" w:hint="default"/>
      </w:rPr>
    </w:lvl>
  </w:abstractNum>
  <w:abstractNum w:abstractNumId="13" w15:restartNumberingAfterBreak="0">
    <w:nsid w:val="7E2BE40D"/>
    <w:multiLevelType w:val="hybridMultilevel"/>
    <w:tmpl w:val="1E4E1308"/>
    <w:lvl w:ilvl="0" w:tplc="9964F6DC">
      <w:start w:val="1"/>
      <w:numFmt w:val="bullet"/>
      <w:lvlText w:val=""/>
      <w:lvlJc w:val="left"/>
      <w:pPr>
        <w:ind w:left="720" w:hanging="360"/>
      </w:pPr>
      <w:rPr>
        <w:rFonts w:ascii="Symbol" w:hAnsi="Symbol" w:hint="default"/>
      </w:rPr>
    </w:lvl>
    <w:lvl w:ilvl="1" w:tplc="0A5CDB4E">
      <w:start w:val="1"/>
      <w:numFmt w:val="bullet"/>
      <w:lvlText w:val="o"/>
      <w:lvlJc w:val="left"/>
      <w:pPr>
        <w:ind w:left="1440" w:hanging="360"/>
      </w:pPr>
      <w:rPr>
        <w:rFonts w:ascii="Courier New" w:hAnsi="Courier New" w:hint="default"/>
      </w:rPr>
    </w:lvl>
    <w:lvl w:ilvl="2" w:tplc="DE66AE7E">
      <w:start w:val="1"/>
      <w:numFmt w:val="bullet"/>
      <w:lvlText w:val=""/>
      <w:lvlJc w:val="left"/>
      <w:pPr>
        <w:ind w:left="2160" w:hanging="360"/>
      </w:pPr>
      <w:rPr>
        <w:rFonts w:ascii="Wingdings" w:hAnsi="Wingdings" w:hint="default"/>
      </w:rPr>
    </w:lvl>
    <w:lvl w:ilvl="3" w:tplc="B96ABAB8">
      <w:start w:val="1"/>
      <w:numFmt w:val="bullet"/>
      <w:lvlText w:val=""/>
      <w:lvlJc w:val="left"/>
      <w:pPr>
        <w:ind w:left="2880" w:hanging="360"/>
      </w:pPr>
      <w:rPr>
        <w:rFonts w:ascii="Symbol" w:hAnsi="Symbol" w:hint="default"/>
      </w:rPr>
    </w:lvl>
    <w:lvl w:ilvl="4" w:tplc="9AD46408">
      <w:start w:val="1"/>
      <w:numFmt w:val="bullet"/>
      <w:lvlText w:val="o"/>
      <w:lvlJc w:val="left"/>
      <w:pPr>
        <w:ind w:left="3600" w:hanging="360"/>
      </w:pPr>
      <w:rPr>
        <w:rFonts w:ascii="Courier New" w:hAnsi="Courier New" w:hint="default"/>
      </w:rPr>
    </w:lvl>
    <w:lvl w:ilvl="5" w:tplc="1AEADF82">
      <w:start w:val="1"/>
      <w:numFmt w:val="bullet"/>
      <w:lvlText w:val=""/>
      <w:lvlJc w:val="left"/>
      <w:pPr>
        <w:ind w:left="4320" w:hanging="360"/>
      </w:pPr>
      <w:rPr>
        <w:rFonts w:ascii="Wingdings" w:hAnsi="Wingdings" w:hint="default"/>
      </w:rPr>
    </w:lvl>
    <w:lvl w:ilvl="6" w:tplc="3D4A93E4">
      <w:start w:val="1"/>
      <w:numFmt w:val="bullet"/>
      <w:lvlText w:val=""/>
      <w:lvlJc w:val="left"/>
      <w:pPr>
        <w:ind w:left="5040" w:hanging="360"/>
      </w:pPr>
      <w:rPr>
        <w:rFonts w:ascii="Symbol" w:hAnsi="Symbol" w:hint="default"/>
      </w:rPr>
    </w:lvl>
    <w:lvl w:ilvl="7" w:tplc="02BA1706">
      <w:start w:val="1"/>
      <w:numFmt w:val="bullet"/>
      <w:lvlText w:val="o"/>
      <w:lvlJc w:val="left"/>
      <w:pPr>
        <w:ind w:left="5760" w:hanging="360"/>
      </w:pPr>
      <w:rPr>
        <w:rFonts w:ascii="Courier New" w:hAnsi="Courier New" w:hint="default"/>
      </w:rPr>
    </w:lvl>
    <w:lvl w:ilvl="8" w:tplc="A0DC80D4">
      <w:start w:val="1"/>
      <w:numFmt w:val="bullet"/>
      <w:lvlText w:val=""/>
      <w:lvlJc w:val="left"/>
      <w:pPr>
        <w:ind w:left="6480" w:hanging="360"/>
      </w:pPr>
      <w:rPr>
        <w:rFonts w:ascii="Wingdings" w:hAnsi="Wingdings" w:hint="default"/>
      </w:rPr>
    </w:lvl>
  </w:abstractNum>
  <w:num w:numId="1" w16cid:durableId="1140422605">
    <w:abstractNumId w:val="12"/>
  </w:num>
  <w:num w:numId="2" w16cid:durableId="791561036">
    <w:abstractNumId w:val="5"/>
  </w:num>
  <w:num w:numId="3" w16cid:durableId="1008867048">
    <w:abstractNumId w:val="4"/>
  </w:num>
  <w:num w:numId="4" w16cid:durableId="367411382">
    <w:abstractNumId w:val="13"/>
  </w:num>
  <w:num w:numId="5" w16cid:durableId="1218979066">
    <w:abstractNumId w:val="6"/>
  </w:num>
  <w:num w:numId="6" w16cid:durableId="944920861">
    <w:abstractNumId w:val="0"/>
  </w:num>
  <w:num w:numId="7" w16cid:durableId="768812575">
    <w:abstractNumId w:val="1"/>
  </w:num>
  <w:num w:numId="8" w16cid:durableId="1885100638">
    <w:abstractNumId w:val="2"/>
  </w:num>
  <w:num w:numId="9" w16cid:durableId="1334844783">
    <w:abstractNumId w:val="10"/>
  </w:num>
  <w:num w:numId="10" w16cid:durableId="829105587">
    <w:abstractNumId w:val="11"/>
  </w:num>
  <w:num w:numId="11" w16cid:durableId="1238981269">
    <w:abstractNumId w:val="7"/>
  </w:num>
  <w:num w:numId="12" w16cid:durableId="675577396">
    <w:abstractNumId w:val="8"/>
  </w:num>
  <w:num w:numId="13" w16cid:durableId="929583562">
    <w:abstractNumId w:val="9"/>
  </w:num>
  <w:num w:numId="14" w16cid:durableId="799423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879"/>
    <w:rsid w:val="0000209F"/>
    <w:rsid w:val="000022B4"/>
    <w:rsid w:val="00011386"/>
    <w:rsid w:val="000211E1"/>
    <w:rsid w:val="000242FF"/>
    <w:rsid w:val="0002498B"/>
    <w:rsid w:val="00024F58"/>
    <w:rsid w:val="00032A15"/>
    <w:rsid w:val="00040E29"/>
    <w:rsid w:val="000437E0"/>
    <w:rsid w:val="00044A23"/>
    <w:rsid w:val="00044B05"/>
    <w:rsid w:val="00053AB7"/>
    <w:rsid w:val="000574F3"/>
    <w:rsid w:val="00067CF6"/>
    <w:rsid w:val="00073154"/>
    <w:rsid w:val="0007319A"/>
    <w:rsid w:val="0008139C"/>
    <w:rsid w:val="000823A7"/>
    <w:rsid w:val="000839EF"/>
    <w:rsid w:val="000A64DB"/>
    <w:rsid w:val="000B6DB4"/>
    <w:rsid w:val="000B6E32"/>
    <w:rsid w:val="000D20F5"/>
    <w:rsid w:val="000E009D"/>
    <w:rsid w:val="00103D57"/>
    <w:rsid w:val="00106964"/>
    <w:rsid w:val="0011117C"/>
    <w:rsid w:val="00113173"/>
    <w:rsid w:val="00116C83"/>
    <w:rsid w:val="001206ED"/>
    <w:rsid w:val="001231FB"/>
    <w:rsid w:val="00130D3A"/>
    <w:rsid w:val="00132981"/>
    <w:rsid w:val="00140599"/>
    <w:rsid w:val="0016016B"/>
    <w:rsid w:val="001618BC"/>
    <w:rsid w:val="00166DAA"/>
    <w:rsid w:val="00191E20"/>
    <w:rsid w:val="001A6805"/>
    <w:rsid w:val="001B1067"/>
    <w:rsid w:val="001B4754"/>
    <w:rsid w:val="001B51F1"/>
    <w:rsid w:val="001C4ACC"/>
    <w:rsid w:val="001D027D"/>
    <w:rsid w:val="001D3B49"/>
    <w:rsid w:val="002021BF"/>
    <w:rsid w:val="00206A48"/>
    <w:rsid w:val="002244ED"/>
    <w:rsid w:val="0023051A"/>
    <w:rsid w:val="002305D8"/>
    <w:rsid w:val="00236ADE"/>
    <w:rsid w:val="0024135E"/>
    <w:rsid w:val="002513B4"/>
    <w:rsid w:val="00251457"/>
    <w:rsid w:val="00251AF7"/>
    <w:rsid w:val="002604D6"/>
    <w:rsid w:val="0026388F"/>
    <w:rsid w:val="00265529"/>
    <w:rsid w:val="00272EFC"/>
    <w:rsid w:val="00291FD8"/>
    <w:rsid w:val="002A032F"/>
    <w:rsid w:val="002A0783"/>
    <w:rsid w:val="002A4803"/>
    <w:rsid w:val="002B3C79"/>
    <w:rsid w:val="002C604E"/>
    <w:rsid w:val="002C69B1"/>
    <w:rsid w:val="002D5B5E"/>
    <w:rsid w:val="002E4216"/>
    <w:rsid w:val="002F7346"/>
    <w:rsid w:val="003127AE"/>
    <w:rsid w:val="003176F7"/>
    <w:rsid w:val="00323C33"/>
    <w:rsid w:val="003410F7"/>
    <w:rsid w:val="0034189F"/>
    <w:rsid w:val="0034664D"/>
    <w:rsid w:val="00351056"/>
    <w:rsid w:val="003674B7"/>
    <w:rsid w:val="0037442E"/>
    <w:rsid w:val="00392A0B"/>
    <w:rsid w:val="00393742"/>
    <w:rsid w:val="00396499"/>
    <w:rsid w:val="003C17E8"/>
    <w:rsid w:val="003D11E5"/>
    <w:rsid w:val="003D45FE"/>
    <w:rsid w:val="003E6C6B"/>
    <w:rsid w:val="00416AEC"/>
    <w:rsid w:val="004200E6"/>
    <w:rsid w:val="0042193D"/>
    <w:rsid w:val="00425FFB"/>
    <w:rsid w:val="00427B2F"/>
    <w:rsid w:val="00437C7F"/>
    <w:rsid w:val="00441D52"/>
    <w:rsid w:val="00454414"/>
    <w:rsid w:val="00460447"/>
    <w:rsid w:val="00471DEE"/>
    <w:rsid w:val="00487891"/>
    <w:rsid w:val="00494FD7"/>
    <w:rsid w:val="00497447"/>
    <w:rsid w:val="004A272D"/>
    <w:rsid w:val="004A435B"/>
    <w:rsid w:val="004A61A7"/>
    <w:rsid w:val="004B2355"/>
    <w:rsid w:val="004C2593"/>
    <w:rsid w:val="004D1755"/>
    <w:rsid w:val="004D2948"/>
    <w:rsid w:val="004D685C"/>
    <w:rsid w:val="004E32A0"/>
    <w:rsid w:val="004E78A2"/>
    <w:rsid w:val="004F7962"/>
    <w:rsid w:val="00517463"/>
    <w:rsid w:val="00524BD1"/>
    <w:rsid w:val="005532D2"/>
    <w:rsid w:val="00557E11"/>
    <w:rsid w:val="0056215E"/>
    <w:rsid w:val="00565F5F"/>
    <w:rsid w:val="00574553"/>
    <w:rsid w:val="00577275"/>
    <w:rsid w:val="00592B10"/>
    <w:rsid w:val="00595F39"/>
    <w:rsid w:val="005A41F4"/>
    <w:rsid w:val="005B3010"/>
    <w:rsid w:val="005B3111"/>
    <w:rsid w:val="005C5EF0"/>
    <w:rsid w:val="005C7C1A"/>
    <w:rsid w:val="005D16E7"/>
    <w:rsid w:val="005D4EC0"/>
    <w:rsid w:val="005D6BFC"/>
    <w:rsid w:val="005E143A"/>
    <w:rsid w:val="005E3539"/>
    <w:rsid w:val="005E72B4"/>
    <w:rsid w:val="00614575"/>
    <w:rsid w:val="00616658"/>
    <w:rsid w:val="00630C14"/>
    <w:rsid w:val="00666F5F"/>
    <w:rsid w:val="00683C36"/>
    <w:rsid w:val="00685DEF"/>
    <w:rsid w:val="0069748E"/>
    <w:rsid w:val="006A4E3E"/>
    <w:rsid w:val="006B4FA3"/>
    <w:rsid w:val="006B74F7"/>
    <w:rsid w:val="006C0DAD"/>
    <w:rsid w:val="006C5C63"/>
    <w:rsid w:val="006D112E"/>
    <w:rsid w:val="006D6A9A"/>
    <w:rsid w:val="006E0320"/>
    <w:rsid w:val="006F3E26"/>
    <w:rsid w:val="006F51D4"/>
    <w:rsid w:val="007039A1"/>
    <w:rsid w:val="007364AB"/>
    <w:rsid w:val="00741794"/>
    <w:rsid w:val="00742857"/>
    <w:rsid w:val="007515DE"/>
    <w:rsid w:val="00753D8B"/>
    <w:rsid w:val="00755F69"/>
    <w:rsid w:val="00760060"/>
    <w:rsid w:val="007701B1"/>
    <w:rsid w:val="00777055"/>
    <w:rsid w:val="00780052"/>
    <w:rsid w:val="007A287C"/>
    <w:rsid w:val="007B312E"/>
    <w:rsid w:val="007B4D42"/>
    <w:rsid w:val="007C16BE"/>
    <w:rsid w:val="007C517C"/>
    <w:rsid w:val="007C5AA5"/>
    <w:rsid w:val="007D111A"/>
    <w:rsid w:val="007D3EC7"/>
    <w:rsid w:val="007E5C52"/>
    <w:rsid w:val="007F21A8"/>
    <w:rsid w:val="007F500A"/>
    <w:rsid w:val="00803980"/>
    <w:rsid w:val="00811DC0"/>
    <w:rsid w:val="00813970"/>
    <w:rsid w:val="00815DB4"/>
    <w:rsid w:val="008221F9"/>
    <w:rsid w:val="00823097"/>
    <w:rsid w:val="008245E2"/>
    <w:rsid w:val="00832446"/>
    <w:rsid w:val="0084060C"/>
    <w:rsid w:val="00851BDD"/>
    <w:rsid w:val="00854811"/>
    <w:rsid w:val="00854F3F"/>
    <w:rsid w:val="008606E8"/>
    <w:rsid w:val="00860E6E"/>
    <w:rsid w:val="00867C3D"/>
    <w:rsid w:val="008729EC"/>
    <w:rsid w:val="00874169"/>
    <w:rsid w:val="008A476E"/>
    <w:rsid w:val="008A727C"/>
    <w:rsid w:val="008C0344"/>
    <w:rsid w:val="008C7222"/>
    <w:rsid w:val="008E69DC"/>
    <w:rsid w:val="008F5903"/>
    <w:rsid w:val="00920914"/>
    <w:rsid w:val="00926DEF"/>
    <w:rsid w:val="00945EFF"/>
    <w:rsid w:val="00955AD2"/>
    <w:rsid w:val="00962BB2"/>
    <w:rsid w:val="00967921"/>
    <w:rsid w:val="00973466"/>
    <w:rsid w:val="00976B25"/>
    <w:rsid w:val="00977C03"/>
    <w:rsid w:val="0097DAE4"/>
    <w:rsid w:val="009A789A"/>
    <w:rsid w:val="009B6E27"/>
    <w:rsid w:val="009C1806"/>
    <w:rsid w:val="009D6800"/>
    <w:rsid w:val="009F2213"/>
    <w:rsid w:val="00A118F6"/>
    <w:rsid w:val="00A13030"/>
    <w:rsid w:val="00A164C0"/>
    <w:rsid w:val="00A176AB"/>
    <w:rsid w:val="00A225B9"/>
    <w:rsid w:val="00A302D6"/>
    <w:rsid w:val="00A31D37"/>
    <w:rsid w:val="00A40726"/>
    <w:rsid w:val="00A41EDD"/>
    <w:rsid w:val="00A4587C"/>
    <w:rsid w:val="00A63741"/>
    <w:rsid w:val="00A66C2C"/>
    <w:rsid w:val="00A822F9"/>
    <w:rsid w:val="00A855F3"/>
    <w:rsid w:val="00A929B4"/>
    <w:rsid w:val="00AB786D"/>
    <w:rsid w:val="00AC68F0"/>
    <w:rsid w:val="00AC69B1"/>
    <w:rsid w:val="00AC7719"/>
    <w:rsid w:val="00AD136F"/>
    <w:rsid w:val="00AD37AB"/>
    <w:rsid w:val="00AE16A1"/>
    <w:rsid w:val="00AE2F8F"/>
    <w:rsid w:val="00B11556"/>
    <w:rsid w:val="00B14850"/>
    <w:rsid w:val="00B215E7"/>
    <w:rsid w:val="00B3326F"/>
    <w:rsid w:val="00B42A43"/>
    <w:rsid w:val="00B52790"/>
    <w:rsid w:val="00B60ED6"/>
    <w:rsid w:val="00B703A1"/>
    <w:rsid w:val="00B754E2"/>
    <w:rsid w:val="00B90C71"/>
    <w:rsid w:val="00BA05FF"/>
    <w:rsid w:val="00BA3E60"/>
    <w:rsid w:val="00BC124E"/>
    <w:rsid w:val="00BC2D6A"/>
    <w:rsid w:val="00BC6B9E"/>
    <w:rsid w:val="00BD1FF6"/>
    <w:rsid w:val="00BE04CD"/>
    <w:rsid w:val="00BE175B"/>
    <w:rsid w:val="00BE2D00"/>
    <w:rsid w:val="00BF22AF"/>
    <w:rsid w:val="00C0102B"/>
    <w:rsid w:val="00C02CC6"/>
    <w:rsid w:val="00C05696"/>
    <w:rsid w:val="00C12450"/>
    <w:rsid w:val="00C378B8"/>
    <w:rsid w:val="00C426EF"/>
    <w:rsid w:val="00C43B59"/>
    <w:rsid w:val="00C47991"/>
    <w:rsid w:val="00C5426A"/>
    <w:rsid w:val="00C5521D"/>
    <w:rsid w:val="00C74B38"/>
    <w:rsid w:val="00C93797"/>
    <w:rsid w:val="00CA2C4C"/>
    <w:rsid w:val="00CB1C4A"/>
    <w:rsid w:val="00CB5B15"/>
    <w:rsid w:val="00CB5D9D"/>
    <w:rsid w:val="00CC2D9A"/>
    <w:rsid w:val="00CD4981"/>
    <w:rsid w:val="00D038E2"/>
    <w:rsid w:val="00D048B5"/>
    <w:rsid w:val="00D106C0"/>
    <w:rsid w:val="00D10FD0"/>
    <w:rsid w:val="00D12A91"/>
    <w:rsid w:val="00D12BA4"/>
    <w:rsid w:val="00D13F81"/>
    <w:rsid w:val="00D16E1D"/>
    <w:rsid w:val="00D2007B"/>
    <w:rsid w:val="00D20758"/>
    <w:rsid w:val="00D20FCB"/>
    <w:rsid w:val="00D47044"/>
    <w:rsid w:val="00D47FD6"/>
    <w:rsid w:val="00D71375"/>
    <w:rsid w:val="00D8117D"/>
    <w:rsid w:val="00D9602E"/>
    <w:rsid w:val="00DC233B"/>
    <w:rsid w:val="00DD075F"/>
    <w:rsid w:val="00DE3097"/>
    <w:rsid w:val="00DF727D"/>
    <w:rsid w:val="00E06603"/>
    <w:rsid w:val="00E12374"/>
    <w:rsid w:val="00E21680"/>
    <w:rsid w:val="00E2439E"/>
    <w:rsid w:val="00E24CBC"/>
    <w:rsid w:val="00E25816"/>
    <w:rsid w:val="00E36750"/>
    <w:rsid w:val="00E4289C"/>
    <w:rsid w:val="00E44D43"/>
    <w:rsid w:val="00E47ABB"/>
    <w:rsid w:val="00E52D1F"/>
    <w:rsid w:val="00E53410"/>
    <w:rsid w:val="00E547ED"/>
    <w:rsid w:val="00E56B82"/>
    <w:rsid w:val="00E574D7"/>
    <w:rsid w:val="00E60256"/>
    <w:rsid w:val="00E616B9"/>
    <w:rsid w:val="00E62DE7"/>
    <w:rsid w:val="00E72F40"/>
    <w:rsid w:val="00E84E37"/>
    <w:rsid w:val="00E87B5A"/>
    <w:rsid w:val="00E963FD"/>
    <w:rsid w:val="00EA44CC"/>
    <w:rsid w:val="00EA7E58"/>
    <w:rsid w:val="00EB33EF"/>
    <w:rsid w:val="00EB412C"/>
    <w:rsid w:val="00EB6298"/>
    <w:rsid w:val="00EC1879"/>
    <w:rsid w:val="00EC20A8"/>
    <w:rsid w:val="00ED0773"/>
    <w:rsid w:val="00EE03FB"/>
    <w:rsid w:val="00EE1C24"/>
    <w:rsid w:val="00EE264C"/>
    <w:rsid w:val="00F0070B"/>
    <w:rsid w:val="00F06024"/>
    <w:rsid w:val="00F232C8"/>
    <w:rsid w:val="00F239D6"/>
    <w:rsid w:val="00F25D91"/>
    <w:rsid w:val="00F51F55"/>
    <w:rsid w:val="00F53B39"/>
    <w:rsid w:val="00F618D0"/>
    <w:rsid w:val="00F64D54"/>
    <w:rsid w:val="00F66869"/>
    <w:rsid w:val="00F80688"/>
    <w:rsid w:val="00F8321F"/>
    <w:rsid w:val="00F854D1"/>
    <w:rsid w:val="00F85B6F"/>
    <w:rsid w:val="00FC2DF1"/>
    <w:rsid w:val="00FC3652"/>
    <w:rsid w:val="00FF5E4C"/>
    <w:rsid w:val="00FF69AC"/>
    <w:rsid w:val="01F80A82"/>
    <w:rsid w:val="045C4CD7"/>
    <w:rsid w:val="045E8B55"/>
    <w:rsid w:val="06812807"/>
    <w:rsid w:val="08B1F473"/>
    <w:rsid w:val="09D76BC5"/>
    <w:rsid w:val="09E5A872"/>
    <w:rsid w:val="0A0D4D1B"/>
    <w:rsid w:val="0C29B835"/>
    <w:rsid w:val="0CEB0B16"/>
    <w:rsid w:val="130DAE3B"/>
    <w:rsid w:val="13902BED"/>
    <w:rsid w:val="14C4FCAB"/>
    <w:rsid w:val="156C2533"/>
    <w:rsid w:val="197BAF15"/>
    <w:rsid w:val="1A2E5894"/>
    <w:rsid w:val="1B61857D"/>
    <w:rsid w:val="1BD2FBE9"/>
    <w:rsid w:val="2163A8D3"/>
    <w:rsid w:val="21E3B22A"/>
    <w:rsid w:val="22E44726"/>
    <w:rsid w:val="234A07B0"/>
    <w:rsid w:val="276CB184"/>
    <w:rsid w:val="288CBAE6"/>
    <w:rsid w:val="2A5EAD92"/>
    <w:rsid w:val="2B4AA9FB"/>
    <w:rsid w:val="2E27CC93"/>
    <w:rsid w:val="2FC39CF4"/>
    <w:rsid w:val="308B4D70"/>
    <w:rsid w:val="32CEBE33"/>
    <w:rsid w:val="345EEB11"/>
    <w:rsid w:val="3537D95D"/>
    <w:rsid w:val="358F1FF5"/>
    <w:rsid w:val="387BDEDA"/>
    <w:rsid w:val="38AB6CCC"/>
    <w:rsid w:val="39731723"/>
    <w:rsid w:val="3C8DC93C"/>
    <w:rsid w:val="4022DAFA"/>
    <w:rsid w:val="409783D4"/>
    <w:rsid w:val="4179BCBF"/>
    <w:rsid w:val="45DFE01E"/>
    <w:rsid w:val="486E48D6"/>
    <w:rsid w:val="488D8B6F"/>
    <w:rsid w:val="48BF4137"/>
    <w:rsid w:val="48FDBC23"/>
    <w:rsid w:val="499EC3D2"/>
    <w:rsid w:val="4A543C5E"/>
    <w:rsid w:val="4C40A0C4"/>
    <w:rsid w:val="539FD44A"/>
    <w:rsid w:val="64C0FC76"/>
    <w:rsid w:val="64EBDD04"/>
    <w:rsid w:val="64F50F5E"/>
    <w:rsid w:val="6BD9F7B2"/>
    <w:rsid w:val="6C0403FC"/>
    <w:rsid w:val="6D034262"/>
    <w:rsid w:val="6D242FD8"/>
    <w:rsid w:val="6E23FFAE"/>
    <w:rsid w:val="6E6129AB"/>
    <w:rsid w:val="6EA2586F"/>
    <w:rsid w:val="6F07D81B"/>
    <w:rsid w:val="72F8B6A7"/>
    <w:rsid w:val="75CEDC6F"/>
    <w:rsid w:val="786B3723"/>
    <w:rsid w:val="79C01E80"/>
    <w:rsid w:val="7B2714C0"/>
    <w:rsid w:val="7B58524B"/>
    <w:rsid w:val="7C4123B4"/>
    <w:rsid w:val="7CF22973"/>
    <w:rsid w:val="7EA91B79"/>
    <w:rsid w:val="7FFBC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AB745"/>
  <w15:docId w15:val="{5E0FFC8D-7D8F-4BA1-A235-F1AB5BAB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2A0783"/>
    <w:pPr>
      <w:ind w:left="720"/>
      <w:contextualSpacing/>
    </w:pPr>
  </w:style>
  <w:style w:type="paragraph" w:styleId="Header">
    <w:name w:val="header"/>
    <w:basedOn w:val="Normal"/>
    <w:link w:val="HeaderChar"/>
    <w:uiPriority w:val="99"/>
    <w:semiHidden/>
    <w:unhideWhenUsed/>
    <w:rsid w:val="00595F39"/>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595F39"/>
  </w:style>
  <w:style w:type="paragraph" w:styleId="Footer">
    <w:name w:val="footer"/>
    <w:basedOn w:val="Normal"/>
    <w:link w:val="FooterChar"/>
    <w:uiPriority w:val="99"/>
    <w:semiHidden/>
    <w:unhideWhenUsed/>
    <w:rsid w:val="00595F39"/>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595F39"/>
  </w:style>
  <w:style w:type="character" w:styleId="CommentReference">
    <w:name w:val="annotation reference"/>
    <w:basedOn w:val="DefaultParagraphFont"/>
    <w:uiPriority w:val="99"/>
    <w:semiHidden/>
    <w:unhideWhenUsed/>
    <w:rsid w:val="00B215E7"/>
    <w:rPr>
      <w:sz w:val="16"/>
      <w:szCs w:val="16"/>
    </w:rPr>
  </w:style>
  <w:style w:type="paragraph" w:styleId="CommentText">
    <w:name w:val="annotation text"/>
    <w:basedOn w:val="Normal"/>
    <w:link w:val="CommentTextChar"/>
    <w:uiPriority w:val="99"/>
    <w:unhideWhenUsed/>
    <w:rsid w:val="00B215E7"/>
    <w:pPr>
      <w:spacing w:line="240" w:lineRule="auto"/>
    </w:pPr>
    <w:rPr>
      <w:sz w:val="20"/>
      <w:szCs w:val="20"/>
    </w:rPr>
  </w:style>
  <w:style w:type="character" w:customStyle="1" w:styleId="CommentTextChar">
    <w:name w:val="Comment Text Char"/>
    <w:basedOn w:val="DefaultParagraphFont"/>
    <w:link w:val="CommentText"/>
    <w:uiPriority w:val="99"/>
    <w:rsid w:val="00B215E7"/>
    <w:rPr>
      <w:sz w:val="20"/>
      <w:szCs w:val="20"/>
    </w:rPr>
  </w:style>
  <w:style w:type="paragraph" w:styleId="CommentSubject">
    <w:name w:val="annotation subject"/>
    <w:basedOn w:val="CommentText"/>
    <w:next w:val="CommentText"/>
    <w:link w:val="CommentSubjectChar"/>
    <w:uiPriority w:val="99"/>
    <w:semiHidden/>
    <w:unhideWhenUsed/>
    <w:rsid w:val="00B215E7"/>
    <w:rPr>
      <w:b/>
      <w:bCs/>
    </w:rPr>
  </w:style>
  <w:style w:type="character" w:customStyle="1" w:styleId="CommentSubjectChar">
    <w:name w:val="Comment Subject Char"/>
    <w:basedOn w:val="CommentTextChar"/>
    <w:link w:val="CommentSubject"/>
    <w:uiPriority w:val="99"/>
    <w:semiHidden/>
    <w:rsid w:val="00B215E7"/>
    <w:rPr>
      <w:b/>
      <w:bCs/>
      <w:sz w:val="20"/>
      <w:szCs w:val="20"/>
    </w:rPr>
  </w:style>
  <w:style w:type="character" w:styleId="Hyperlink">
    <w:name w:val="Hyperlink"/>
    <w:basedOn w:val="DefaultParagraphFont"/>
    <w:uiPriority w:val="99"/>
    <w:unhideWhenUsed/>
    <w:rsid w:val="00760060"/>
    <w:rPr>
      <w:color w:val="0000FF" w:themeColor="hyperlink"/>
      <w:u w:val="single"/>
    </w:rPr>
  </w:style>
  <w:style w:type="character" w:customStyle="1" w:styleId="cf01">
    <w:name w:val="cf01"/>
    <w:basedOn w:val="DefaultParagraphFont"/>
    <w:uiPriority w:val="1"/>
    <w:rsid w:val="00760060"/>
    <w:rPr>
      <w:rFonts w:ascii="Segoe UI" w:eastAsia="Arial" w:hAnsi="Segoe UI" w:cs="Segoe UI"/>
      <w:sz w:val="18"/>
      <w:szCs w:val="18"/>
    </w:rPr>
  </w:style>
  <w:style w:type="table" w:styleId="TableGrid">
    <w:name w:val="Table Grid"/>
    <w:basedOn w:val="TableNormal"/>
    <w:uiPriority w:val="39"/>
    <w:rsid w:val="00067C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8117D"/>
    <w:rPr>
      <w:color w:val="800080" w:themeColor="followedHyperlink"/>
      <w:u w:val="single"/>
    </w:rPr>
  </w:style>
  <w:style w:type="paragraph" w:styleId="Revision">
    <w:name w:val="Revision"/>
    <w:hidden/>
    <w:uiPriority w:val="99"/>
    <w:semiHidden/>
    <w:rsid w:val="00630C1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355207">
      <w:bodyDiv w:val="1"/>
      <w:marLeft w:val="0"/>
      <w:marRight w:val="0"/>
      <w:marTop w:val="0"/>
      <w:marBottom w:val="0"/>
      <w:divBdr>
        <w:top w:val="none" w:sz="0" w:space="0" w:color="auto"/>
        <w:left w:val="none" w:sz="0" w:space="0" w:color="auto"/>
        <w:bottom w:val="none" w:sz="0" w:space="0" w:color="auto"/>
        <w:right w:val="none" w:sz="0" w:space="0" w:color="auto"/>
      </w:divBdr>
    </w:div>
    <w:div w:id="1295793397">
      <w:bodyDiv w:val="1"/>
      <w:marLeft w:val="0"/>
      <w:marRight w:val="0"/>
      <w:marTop w:val="0"/>
      <w:marBottom w:val="0"/>
      <w:divBdr>
        <w:top w:val="none" w:sz="0" w:space="0" w:color="auto"/>
        <w:left w:val="none" w:sz="0" w:space="0" w:color="auto"/>
        <w:bottom w:val="none" w:sz="0" w:space="0" w:color="auto"/>
        <w:right w:val="none" w:sz="0" w:space="0" w:color="auto"/>
      </w:divBdr>
    </w:div>
    <w:div w:id="1843546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9" ma:contentTypeDescription="Create a new document." ma:contentTypeScope="" ma:versionID="b4496c9598b12bff07221c603ea40fc8">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29f02363e235355ff32342fe1b865e08"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4E2453-9729-45B8-B13F-9FD3475354D5}">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customXml/itemProps2.xml><?xml version="1.0" encoding="utf-8"?>
<ds:datastoreItem xmlns:ds="http://schemas.openxmlformats.org/officeDocument/2006/customXml" ds:itemID="{78911013-2794-451A-9195-B7A7949FF93E}">
  <ds:schemaRefs>
    <ds:schemaRef ds:uri="http://schemas.microsoft.com/sharepoint/v3/contenttype/forms"/>
  </ds:schemaRefs>
</ds:datastoreItem>
</file>

<file path=customXml/itemProps3.xml><?xml version="1.0" encoding="utf-8"?>
<ds:datastoreItem xmlns:ds="http://schemas.openxmlformats.org/officeDocument/2006/customXml" ds:itemID="{1C43763A-4004-46D0-9E67-5076843049E2}"/>
</file>

<file path=docProps/app.xml><?xml version="1.0" encoding="utf-8"?>
<Properties xmlns="http://schemas.openxmlformats.org/officeDocument/2006/extended-properties" xmlns:vt="http://schemas.openxmlformats.org/officeDocument/2006/docPropsVTypes">
  <Template>Normal.dotm</Template>
  <TotalTime>13</TotalTime>
  <Pages>6</Pages>
  <Words>2443</Words>
  <Characters>13929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16340</CharactersWithSpaces>
  <SharedDoc>false</SharedDoc>
  <HLinks>
    <vt:vector size="6" baseType="variant">
      <vt:variant>
        <vt:i4>3604519</vt:i4>
      </vt:variant>
      <vt:variant>
        <vt:i4>0</vt:i4>
      </vt:variant>
      <vt:variant>
        <vt:i4>0</vt:i4>
      </vt:variant>
      <vt:variant>
        <vt:i4>5</vt:i4>
      </vt:variant>
      <vt:variant>
        <vt:lpwstr>https://www.spcr.nihr.ac.uk/files/ppi/spcr-ppie-strategy-sept-2021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 Nye</dc:creator>
  <cp:lastModifiedBy>Nye, Jess</cp:lastModifiedBy>
  <cp:revision>4</cp:revision>
  <dcterms:created xsi:type="dcterms:W3CDTF">2023-06-20T14:18:00Z</dcterms:created>
  <dcterms:modified xsi:type="dcterms:W3CDTF">2023-06-20T14:22:00Z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MediaServiceImageTags">
    <vt:lpwstr/>
  </property>
</Properties>
</file>